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Data Platform EU v1.0</w:t>
      </w:r>
    </w:p>
    <w:p>
      <w:r>
        <w:t>Department: Data Platform</w:t>
      </w:r>
    </w:p>
    <w:p>
      <w:r>
        <w:t>Author: Taylor Nguyen</w:t>
      </w:r>
    </w:p>
    <w:p>
      <w:r>
        <w:t>Created date: 2025-06-27</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All incidents are tagged with severity and mapped to service tiers. This document aligns with PCI DSS requirements and supports EU data residency expectations. Teams must log requests in Workday and track outcomes in Payment Processing Service for audit readiness. This document aligns with PCI DSS requirements and supports EU data residency expectations.</w:t>
      </w:r>
    </w:p>
    <w:p>
      <w:r>
        <w:t>We prioritize customer impact, data integrity, and regulatory alignment. Risk acceptance must be documented and revalidated each quarter.</w:t>
      </w:r>
    </w:p>
    <w:p>
      <w:pPr>
        <w:pStyle w:val="ListBullet"/>
      </w:pPr>
      <w:r>
        <w:t>Risk acceptance must be documented and revalidated each quarter.</w:t>
      </w:r>
    </w:p>
    <w:p>
      <w:pPr>
        <w:pStyle w:val="ListBullet"/>
      </w:pPr>
      <w:r>
        <w:t>The Data Platform organization uses Redis to enforce consistent service baselines.</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Regional teams in EU follow the same policy with localized legal review.</w:t>
      </w:r>
    </w:p>
    <w:p>
      <w:pPr>
        <w:pStyle w:val="ListBullet"/>
      </w:pPr>
      <w:r>
        <w:t>Stakeholders include the Product Manager, service owner, and compliance lead for approvals.</w:t>
      </w:r>
    </w:p>
    <w:p>
      <w:pPr>
        <w:pStyle w:val="Heading1"/>
      </w:pPr>
      <w:r>
        <w:t>Timeline</w:t>
      </w:r>
    </w:p>
    <w:p>
      <w:r>
        <w:t>Risk acceptance must be documented and revalidated each quarter. All incidents are tagged with severity and mapped to service tiers.</w:t>
      </w:r>
    </w:p>
    <w:p>
      <w:r>
        <w:t>All incidents are tagged with severity and mapped to service tiers. Stakeholders include the Product Manager, service owner, and compliance lead for approvals.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process integrates with Payment Processing Service and depends on Redis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Data Platform</w:t>
            </w:r>
          </w:p>
        </w:tc>
        <w:tc>
          <w:tcPr>
            <w:tcW w:type="dxa" w:w="2880"/>
          </w:tcPr>
          <w:p>
            <w:r>
              <w:t>Blocked</w:t>
            </w:r>
          </w:p>
        </w:tc>
      </w:tr>
      <w:tr>
        <w:tc>
          <w:tcPr>
            <w:tcW w:type="dxa" w:w="2880"/>
          </w:tcPr>
          <w:p>
            <w:r>
              <w:t>Access review</w:t>
            </w:r>
          </w:p>
        </w:tc>
        <w:tc>
          <w:tcPr>
            <w:tcW w:type="dxa" w:w="2880"/>
          </w:tcPr>
          <w:p>
            <w:r>
              <w:t>Product Manager</w:t>
            </w:r>
          </w:p>
        </w:tc>
        <w:tc>
          <w:tcPr>
            <w:tcW w:type="dxa" w:w="2880"/>
          </w:tcPr>
          <w:p>
            <w:r>
              <w:t>In Progress</w:t>
            </w:r>
          </w:p>
        </w:tc>
      </w:tr>
    </w:tbl>
    <w:p>
      <w:pPr>
        <w:pStyle w:val="Heading1"/>
      </w:pPr>
      <w:r>
        <w:t>Impact Analysis</w:t>
      </w:r>
    </w:p>
    <w:p>
      <w:r>
        <w:t>Risk acceptance must be documented and revalidated each quarter. All changes require peer review and validation in the Payment Processing Service before production promotion. Teams must log requests in Workday and track outcomes in Payment Processing Service for audit readiness.</w:t>
      </w:r>
    </w:p>
    <w:p>
      <w:r>
        <w:t>The Data Platform organization uses Redis to enforce consistent service baselines. This document aligns with PCI DSS requirements and supports EU data residency expectations. All incidents are tagged with severity and mapped to service tiers. Systems are monitored via Redis and alert routing in Workday.</w:t>
      </w:r>
    </w:p>
    <w:p>
      <w:pPr>
        <w:pStyle w:val="ListBullet"/>
      </w:pPr>
      <w:r>
        <w:t>Stakeholders include the Product Manager, service owner, and compliance lead for approvals.</w:t>
      </w:r>
    </w:p>
    <w:p>
      <w:pPr>
        <w:pStyle w:val="ListBullet"/>
      </w:pPr>
      <w:r>
        <w:t>Stakeholders include the Product Manager, service owner, and compliance lead for approvals.</w:t>
      </w:r>
    </w:p>
    <w:p>
      <w:pPr>
        <w:pStyle w:val="ListBullet"/>
      </w:pPr>
      <w:r>
        <w:t>Evidence artifacts are retained in Workday for at least 24 months.</w:t>
      </w:r>
    </w:p>
    <w:p>
      <w:pPr>
        <w:pStyle w:val="Heading1"/>
      </w:pPr>
      <w:r>
        <w:t>Root Cause</w:t>
      </w:r>
    </w:p>
    <w:p>
      <w:r>
        <w:t>Audit sampling occurs monthly and is summarized in leadership dashboards. Stakeholders include the Product Manager, service owner, and compliance lead for approvals. The process integrates with Payment Processing Service and depends on Redis for telemetry signals. The Data Platform team coordinates with Product Manager to maintain operational readiness.</w:t>
      </w:r>
    </w:p>
    <w:p>
      <w:pPr>
        <w:pStyle w:val="ListBullet"/>
      </w:pPr>
      <w:r>
        <w:t>The process integrates with Payment Processing Service and depends on Redis for telemetry signals.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We prioritize customer impact, data integrity, and regulatory alignment.</w:t>
      </w:r>
    </w:p>
    <w:p>
      <w:pPr>
        <w:pStyle w:val="Heading1"/>
      </w:pPr>
      <w:r>
        <w:t>Follow-Up Actions</w:t>
      </w:r>
    </w:p>
    <w:p>
      <w:r>
        <w:t>Regional teams in EU follow the same policy with localized legal review. The Data Platform organization uses Redis to enforce consistent service baselines. The Data Platform team coordinates with Product Manager to maintain operational readiness. Systems are monitored via Redis and alert routing in Workday.</w:t>
      </w:r>
    </w:p>
    <w:p>
      <w:r>
        <w:t>This document aligns with PCI DSS requirements and supports EU data residency expectations. All incidents are tagged with severity and mapped to service tiers. All incidents are tagged with severity and mapped to service tiers. Risk acceptance must be documented and revalidated each quarter.</w:t>
      </w:r>
    </w:p>
    <w:p>
      <w:pPr>
        <w:pStyle w:val="ListBullet"/>
      </w:pPr>
      <w:r>
        <w:t>We prioritize customer impact, data integrity, and regulatory alignment.</w:t>
      </w:r>
    </w:p>
    <w:p>
      <w:pPr>
        <w:pStyle w:val="ListBullet"/>
      </w:pPr>
      <w:r>
        <w:t>This document aligns with PCI DSS requirements and supports EU data residency expectations.</w:t>
      </w:r>
    </w:p>
    <w:p>
      <w:pPr>
        <w:pStyle w:val="ListBullet"/>
      </w:pPr>
      <w:r>
        <w:t>This document aligns with PCI DSS requirements and supports EU data residency expectations.</w:t>
      </w:r>
    </w:p>
    <w:p>
      <w:pPr>
        <w:pStyle w:val="ListBullet"/>
      </w:pPr>
      <w:r>
        <w:t>All changes require peer review and validation in the Payment Processing Service before production promotion.</w:t>
      </w:r>
    </w:p>
    <w:p>
      <w:pPr>
        <w:pStyle w:val="ListBullet"/>
      </w:pPr>
      <w:r>
        <w:t>Stakeholders include the Product Manager, service owner, and compliance lead for approvals.</w:t>
      </w:r>
    </w:p>
    <w:p>
      <w:pPr>
        <w:pStyle w:val="ListBullet"/>
      </w:pPr>
      <w:r>
        <w:t>Systems are monitored via Redis and alert routing in Workday.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