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Data Platform US v1.0</w:t>
      </w:r>
    </w:p>
    <w:p>
      <w:r>
        <w:t>Department: Data Platform</w:t>
      </w:r>
    </w:p>
    <w:p>
      <w:r>
        <w:t>Author: Morgan Nguyen</w:t>
      </w:r>
    </w:p>
    <w:p>
      <w:r>
        <w:t>Created date: 2025-04-01</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The Data Platform organization uses PostgreSQL to enforce consistent service baselines. Regional teams in US follow the same policy with localized legal review. All incidents are tagged with severity and mapped to service tiers. Risk acceptance must be documented and revalidated each quarter.</w:t>
      </w:r>
    </w:p>
    <w:p>
      <w:r>
        <w:t>Systems are monitored via PostgreSQL and alert routing in Salesforce. Risk acceptance must be documented and revalidated each quarter. Systems are monitored via PostgreSQL and alert routing in Salesforce. Regional teams in US follow the same policy with localized legal review.</w:t>
      </w:r>
    </w:p>
    <w:p>
      <w:pPr>
        <w:pStyle w:val="ListBullet"/>
      </w:pPr>
      <w:r>
        <w:t>The process integrates with Document Repository and depends on PostgreSQL for telemetry signals.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The Data Platform team coordinates with HR Business Partner to maintain operational readiness.</w:t>
      </w:r>
    </w:p>
    <w:p>
      <w:pPr>
        <w:pStyle w:val="ListBullet"/>
      </w:pPr>
      <w:r>
        <w:t>Stakeholders include the HR Business Partner, service owner, and compliance lead for approvals.</w:t>
      </w:r>
    </w:p>
    <w:p>
      <w:pPr>
        <w:pStyle w:val="Heading1"/>
      </w:pPr>
      <w:r>
        <w:t>Timeline</w:t>
      </w:r>
    </w:p>
    <w:p>
      <w:r>
        <w:t>The Data Platform organization uses PostgreSQL to enforce consistent service baselines. Stakeholders include the HR Business Partner, service owner, and compliance lead for approvals. Evidence artifacts are retained in Salesforce for at least 24 months. Teams must log requests in Salesforce and track outcomes in Document Repository for audit readiness.</w:t>
      </w:r>
    </w:p>
    <w:p>
      <w:pPr>
        <w:pStyle w:val="ListBullet"/>
      </w:pPr>
      <w:r>
        <w:t>Audit sampling occurs monthly and is summarized in leadership dashboards.</w:t>
      </w:r>
    </w:p>
    <w:p>
      <w:pPr>
        <w:pStyle w:val="ListBullet"/>
      </w:pPr>
      <w:r>
        <w:t>The Data Platform team coordinates with HR Business Partner to maintain operational readiness.</w:t>
      </w:r>
    </w:p>
    <w:p>
      <w:pPr>
        <w:pStyle w:val="ListBullet"/>
      </w:pPr>
      <w:r>
        <w:t>The Data Platform team coordinates with HR Business Partner to maintain operational readiness.</w:t>
      </w:r>
    </w:p>
    <w:p>
      <w:pPr>
        <w:pStyle w:val="ListBullet"/>
      </w:pPr>
      <w:r>
        <w:t>The Data Platform organization uses PostgreSQL to enforce consistent service baselines.</w:t>
      </w:r>
    </w:p>
    <w:p>
      <w:pPr>
        <w:pStyle w:val="Heading1"/>
      </w:pPr>
      <w:r>
        <w:t>Impact Analysis</w:t>
      </w:r>
    </w:p>
    <w:p>
      <w:r>
        <w:t>Systems are monitored via PostgreSQL and alert routing in Salesforce. Evidence artifacts are retained in Salesforce for at least 24 months. Evidence artifacts are retained in Salesforce for at least 24 months.</w:t>
      </w:r>
    </w:p>
    <w:p>
      <w:pPr>
        <w:pStyle w:val="ListBullet"/>
      </w:pPr>
      <w:r>
        <w:t>Escalations should follow the on-call rotation with a response target of 15 minutes.</w:t>
      </w:r>
    </w:p>
    <w:p>
      <w:pPr>
        <w:pStyle w:val="ListBullet"/>
      </w:pPr>
      <w:r>
        <w:t>We prioritize customer impact, data integrity, and regulatory alignment.</w:t>
      </w:r>
    </w:p>
    <w:p>
      <w:pPr>
        <w:pStyle w:val="ListBullet"/>
      </w:pPr>
      <w:r>
        <w:t>This document aligns with SOC 2 requirements and supports US data residency expectations.</w:t>
      </w:r>
    </w:p>
    <w:p>
      <w:pPr>
        <w:pStyle w:val="ListBullet"/>
      </w:pPr>
      <w:r>
        <w:t>Evidence artifacts are retained in Salesforce for at least 24 months.</w:t>
      </w:r>
    </w:p>
    <w:p>
      <w:pPr>
        <w:pStyle w:val="ListBullet"/>
      </w:pPr>
      <w:r>
        <w:t>Audit sampling occurs monthly and is summarized in leadership dashboards.</w:t>
      </w:r>
    </w:p>
    <w:p>
      <w:pPr>
        <w:pStyle w:val="ListBullet"/>
      </w:pPr>
      <w:r>
        <w:t>Stakeholders include the HR Business Partner, service owner, and compliance lead for approvals.</w:t>
      </w:r>
    </w:p>
    <w:p>
      <w:pPr>
        <w:pStyle w:val="Heading1"/>
      </w:pPr>
      <w:r>
        <w:t>Root Cause</w:t>
      </w:r>
    </w:p>
    <w:p>
      <w:r>
        <w:t>Stakeholders include the HR Business Partner, service owner, and compliance lead for approvals. Escalations should follow the on-call rotation with a response target of 15 minutes.</w:t>
      </w:r>
    </w:p>
    <w:p>
      <w:pPr>
        <w:pStyle w:val="ListBullet"/>
      </w:pPr>
      <w:r>
        <w:t>Regional teams in US follow the same policy with localized legal review.</w:t>
      </w:r>
    </w:p>
    <w:p>
      <w:pPr>
        <w:pStyle w:val="ListBullet"/>
      </w:pPr>
      <w:r>
        <w:t>The Data Platform team coordinates with HR Business Partner to maintain operational readiness.</w:t>
      </w:r>
    </w:p>
    <w:p>
      <w:pPr>
        <w:pStyle w:val="ListBullet"/>
      </w:pPr>
      <w:r>
        <w:t>Regional teams in US follow the same policy with localized legal review.</w:t>
      </w:r>
    </w:p>
    <w:p>
      <w:pPr>
        <w:pStyle w:val="Heading1"/>
      </w:pPr>
      <w:r>
        <w:t>Follow-Up Actions</w:t>
      </w:r>
    </w:p>
    <w:p>
      <w:r>
        <w:t>Evidence artifacts are retained in Salesforce for at least 24 months. The process integrates with Document Repository and depends on PostgreSQL for telemetry signals. Teams must log requests in Salesforce and track outcomes in Document Repository for audit readiness. This document aligns with SOC 2 requirements and supports US data residency expectations.</w:t>
      </w:r>
    </w:p>
    <w:p>
      <w:pPr>
        <w:pStyle w:val="ListBullet"/>
      </w:pPr>
      <w:r>
        <w:t>The Data Platform team coordinates with HR Business Partner to maintain operational readiness.</w:t>
      </w:r>
    </w:p>
    <w:p>
      <w:pPr>
        <w:pStyle w:val="ListBullet"/>
      </w:pPr>
      <w:r>
        <w:t>The process integrates with Document Repository and depends on PostgreSQL for telemetry signals.</w:t>
      </w:r>
    </w:p>
    <w:p>
      <w:pPr>
        <w:pStyle w:val="ListBullet"/>
      </w:pPr>
      <w:r>
        <w:t>The Data Platform organization uses PostgreSQL to enforce consistent service baselines.</w:t>
      </w:r>
    </w:p>
    <w:p>
      <w:pPr>
        <w:pStyle w:val="ListBullet"/>
      </w:pPr>
      <w:r>
        <w:t>Evidence artifacts are retained in Salesforce for at least 24 months.</w:t>
      </w:r>
    </w:p>
    <w:p>
      <w:pPr>
        <w:pStyle w:val="ListBullet"/>
      </w:pPr>
      <w:r>
        <w:t>The process integrates with Document Repository and depends on PostgreSQL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Blocked</w:t>
            </w:r>
          </w:p>
        </w:tc>
      </w:tr>
      <w:tr>
        <w:tc>
          <w:tcPr>
            <w:tcW w:type="dxa" w:w="2880"/>
          </w:tcPr>
          <w:p>
            <w:r>
              <w:t>Patch window</w:t>
            </w:r>
          </w:p>
        </w:tc>
        <w:tc>
          <w:tcPr>
            <w:tcW w:type="dxa" w:w="2880"/>
          </w:tcPr>
          <w:p>
            <w:r>
              <w:t>Data Platform</w:t>
            </w:r>
          </w:p>
        </w:tc>
        <w:tc>
          <w:tcPr>
            <w:tcW w:type="dxa" w:w="2880"/>
          </w:tcPr>
          <w:p>
            <w:r>
              <w:t>Planned</w:t>
            </w:r>
          </w:p>
        </w:tc>
      </w:tr>
      <w:tr>
        <w:tc>
          <w:tcPr>
            <w:tcW w:type="dxa" w:w="2880"/>
          </w:tcPr>
          <w:p>
            <w:r>
              <w:t>Patch window</w:t>
            </w:r>
          </w:p>
        </w:tc>
        <w:tc>
          <w:tcPr>
            <w:tcW w:type="dxa" w:w="2880"/>
          </w:tcPr>
          <w:p>
            <w:r>
              <w:t>HR Business Partner</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