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Engineering EU v1.1</w:t>
      </w:r>
    </w:p>
    <w:p>
      <w:r>
        <w:t>Department: Engineering</w:t>
      </w:r>
    </w:p>
    <w:p>
      <w:r>
        <w:t>Author: Jordan Brown</w:t>
      </w:r>
    </w:p>
    <w:p>
      <w:r>
        <w:t>Created date: 2024-02-13</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The Engineering team coordinates with Release Manager to maintain operational readiness. Evidence artifacts are retained in Workday for at least 24 months.</w:t>
      </w:r>
    </w:p>
    <w:p>
      <w:r>
        <w:t>Risk acceptance must be documented and revalidated each quarter. Escalations should follow the on-call rotation with a response target of 15 minutes. The Engineering organization uses Azure AD to enforce consistent service baselines.</w:t>
      </w:r>
    </w:p>
    <w:p>
      <w:pPr>
        <w:pStyle w:val="ListBullet"/>
      </w:pPr>
      <w:r>
        <w:t>Teams must log requests in Workday and track outcomes in Customer Data Lake for audit readiness.</w:t>
      </w:r>
    </w:p>
    <w:p>
      <w:pPr>
        <w:pStyle w:val="ListBullet"/>
      </w:pPr>
      <w:r>
        <w:t>Stakeholders include the Release Manager, service owner, and compliance lead for approvals.</w:t>
      </w:r>
    </w:p>
    <w:p>
      <w:pPr>
        <w:pStyle w:val="ListBullet"/>
      </w:pPr>
      <w:r>
        <w:t>The Engineering organization uses Azure AD to enforce consistent service baselines.</w:t>
      </w:r>
    </w:p>
    <w:p>
      <w:pPr>
        <w:pStyle w:val="ListBullet"/>
      </w:pPr>
      <w:r>
        <w:t>All incidents are tagged with severity and mapped to service tiers.</w:t>
      </w:r>
    </w:p>
    <w:p>
      <w:pPr>
        <w:pStyle w:val="Heading1"/>
      </w:pPr>
      <w:r>
        <w:t>Timeline</w:t>
      </w:r>
    </w:p>
    <w:p>
      <w:r>
        <w:t>Evidence artifacts are retained in Workday for at least 24 months. Evidence artifacts are retained in Workday for at least 24 months. Audit sampling occurs monthly and is summarized in leadership dashboards. Evidence artifacts are retained in Workday for at least 24 months.</w:t>
      </w:r>
    </w:p>
    <w:p>
      <w:r>
        <w:t>The process integrates with Customer Data Lake and depends on Azure AD for telemetry signals. This document aligns with PCI DSS requirements and supports EU data residency expectations.</w:t>
      </w:r>
    </w:p>
    <w:p>
      <w:pPr>
        <w:pStyle w:val="ListBullet"/>
      </w:pPr>
      <w:r>
        <w:t>Audit sampling occurs monthly and is summarized in leadership dashboards.</w:t>
      </w:r>
    </w:p>
    <w:p>
      <w:pPr>
        <w:pStyle w:val="ListBullet"/>
      </w:pPr>
      <w:r>
        <w:t>The process integrates with Customer Data Lake and depends on Azure AD for telemetry signals.</w:t>
      </w:r>
    </w:p>
    <w:p>
      <w:pPr>
        <w:pStyle w:val="ListBullet"/>
      </w:pPr>
      <w:r>
        <w:t>All changes require peer review and validation in the Customer Data Lake before production promotion.</w:t>
      </w:r>
    </w:p>
    <w:p>
      <w:pPr>
        <w:pStyle w:val="Heading1"/>
      </w:pPr>
      <w:r>
        <w:t>Impact Analysis</w:t>
      </w:r>
    </w:p>
    <w:p>
      <w:r>
        <w:t>The Engineering team coordinates with Release Manager to maintain operational readiness. Evidence artifacts are retained in Workday for at least 24 months. All changes require peer review and validation in the Customer Data Lake before production promotion.</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Escalations should follow the on-call rotation with a response target of 15 minutes.</w:t>
      </w:r>
    </w:p>
    <w:p>
      <w:pPr>
        <w:pStyle w:val="ListBullet"/>
      </w:pPr>
      <w:r>
        <w:t>All changes require peer review and validation in the Customer Data Lake before production promotion.</w:t>
      </w:r>
    </w:p>
    <w:p>
      <w:pPr>
        <w:pStyle w:val="ListBullet"/>
      </w:pPr>
      <w:r>
        <w:t>Systems are monitored via Azure AD and alert routing in Workday.</w:t>
      </w:r>
    </w:p>
    <w:p>
      <w:pPr>
        <w:pStyle w:val="ListBullet"/>
      </w:pPr>
      <w:r>
        <w:t>The process integrates with Customer Data Lake and depends on Azure AD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Release Manager</w:t>
            </w:r>
          </w:p>
        </w:tc>
        <w:tc>
          <w:tcPr>
            <w:tcW w:type="dxa" w:w="2880"/>
          </w:tcPr>
          <w:p>
            <w:r>
              <w:t>Blocked</w:t>
            </w:r>
          </w:p>
        </w:tc>
      </w:tr>
      <w:tr>
        <w:tc>
          <w:tcPr>
            <w:tcW w:type="dxa" w:w="2880"/>
          </w:tcPr>
          <w:p>
            <w:r>
              <w:t>Patch window</w:t>
            </w:r>
          </w:p>
        </w:tc>
        <w:tc>
          <w:tcPr>
            <w:tcW w:type="dxa" w:w="2880"/>
          </w:tcPr>
          <w:p>
            <w:r>
              <w:t>Engineering</w:t>
            </w:r>
          </w:p>
        </w:tc>
        <w:tc>
          <w:tcPr>
            <w:tcW w:type="dxa" w:w="2880"/>
          </w:tcPr>
          <w:p>
            <w:r>
              <w:t>Planned</w:t>
            </w:r>
          </w:p>
        </w:tc>
      </w:tr>
      <w:tr>
        <w:tc>
          <w:tcPr>
            <w:tcW w:type="dxa" w:w="2880"/>
          </w:tcPr>
          <w:p>
            <w:r>
              <w:t>Access review</w:t>
            </w:r>
          </w:p>
        </w:tc>
        <w:tc>
          <w:tcPr>
            <w:tcW w:type="dxa" w:w="2880"/>
          </w:tcPr>
          <w:p>
            <w:r>
              <w:t>Security</w:t>
            </w:r>
          </w:p>
        </w:tc>
        <w:tc>
          <w:tcPr>
            <w:tcW w:type="dxa" w:w="2880"/>
          </w:tcPr>
          <w:p>
            <w:r>
              <w:t>Complete</w:t>
            </w:r>
          </w:p>
        </w:tc>
      </w:tr>
    </w:tbl>
    <w:p>
      <w:pPr>
        <w:pStyle w:val="Heading1"/>
      </w:pPr>
      <w:r>
        <w:t>Root Cause</w:t>
      </w:r>
    </w:p>
    <w:p>
      <w:r>
        <w:t>The Engineering organization uses Azure AD to enforce consistent service baselines. We prioritize customer impact, data integrity, and regulatory alignment. All changes require peer review and validation in the Customer Data Lake before production promotion.</w:t>
      </w:r>
    </w:p>
    <w:p>
      <w:pPr>
        <w:pStyle w:val="ListBullet"/>
      </w:pPr>
      <w:r>
        <w:t>Teams must log requests in Workday and track outcomes in Customer Data Lake for audit readiness.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process integrates with Customer Data Lake and depends on Azure AD for telemetry signals.</w:t>
      </w:r>
    </w:p>
    <w:p>
      <w:pPr>
        <w:pStyle w:val="ListBullet"/>
      </w:pPr>
      <w:r>
        <w:t>All incidents are tagged with severity and mapped to service tiers.</w:t>
      </w:r>
    </w:p>
    <w:p>
      <w:pPr>
        <w:pStyle w:val="Heading1"/>
      </w:pPr>
      <w:r>
        <w:t>Follow-Up Actions</w:t>
      </w:r>
    </w:p>
    <w:p>
      <w:r>
        <w:t>Risk acceptance must be documented and revalidated each quarter. All incidents are tagged with severity and mapped to service tiers. Risk acceptance must be documented and revalidated each quarter. Audit sampling occurs monthly and is summarized in leadership dashboards.</w:t>
      </w:r>
    </w:p>
    <w:p>
      <w:pPr>
        <w:pStyle w:val="ListBullet"/>
      </w:pPr>
      <w:r>
        <w:t>Systems are monitored via Azure AD and alert routing in Workday.</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Systems are monitored via Azure AD and alert routing in Workday.</w:t>
      </w:r>
    </w:p>
    <w:p>
      <w:pPr>
        <w:pStyle w:val="ListBullet"/>
      </w:pPr>
      <w:r>
        <w:t>Systems are monitored via Azure AD and alert routing in Workday.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