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Incident Reports - Legal APAC v3.0</w:t>
      </w:r>
    </w:p>
    <w:p>
      <w:r>
        <w:t>Department: Legal</w:t>
      </w:r>
    </w:p>
    <w:p>
      <w:r>
        <w:t>Author: Avery Patel</w:t>
      </w:r>
    </w:p>
    <w:p>
      <w:r>
        <w:t>Created date: 2025-12-20</w:t>
      </w:r>
    </w:p>
    <w:p>
      <w:r>
        <w:t>Region: APAC</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Incident Summary</w:t>
      </w:r>
    </w:p>
    <w:p>
      <w:r>
        <w:t>The process integrates with Log Aggregation Cluster and depends on Prometheus for telemetry signals. Teams must log requests in SAP and track outcomes in Log Aggregation Cluster for audit readiness.</w:t>
      </w:r>
    </w:p>
    <w:p>
      <w:r>
        <w:t>Risk acceptance must be documented and revalidated each quarter. Evidence artifacts are retained in SAP for at least 36 months.</w:t>
      </w:r>
    </w:p>
    <w:p>
      <w:pPr>
        <w:pStyle w:val="ListBullet"/>
      </w:pPr>
      <w:r>
        <w:t>This document aligns with GDPR requirements and supports APAC data residency expectations.</w:t>
      </w:r>
    </w:p>
    <w:p>
      <w:pPr>
        <w:pStyle w:val="ListBullet"/>
      </w:pPr>
      <w:r>
        <w:t>This document aligns with GDPR requirements and supports APAC data residency expectations.</w:t>
      </w:r>
    </w:p>
    <w:p>
      <w:pPr>
        <w:pStyle w:val="ListBullet"/>
      </w:pPr>
      <w:r>
        <w:t>The Legal organization uses Prometheus to enforce consistent service baselines.</w:t>
      </w:r>
    </w:p>
    <w:p>
      <w:pPr>
        <w:pStyle w:val="ListBullet"/>
      </w:pPr>
      <w:r>
        <w:t>All incidents are tagged with severity and mapped to service tiers.</w:t>
      </w:r>
    </w:p>
    <w:p>
      <w:pPr>
        <w:pStyle w:val="Heading1"/>
      </w:pPr>
      <w:r>
        <w:t>Timeline</w:t>
      </w:r>
    </w:p>
    <w:p>
      <w:r>
        <w:t>Risk acceptance must be documented and revalidated each quarter. We prioritize customer impact, data integrity, and regulatory alignment. Risk acceptance must be documented and revalidated each quarter. The process integrates with Log Aggregation Cluster and depends on Prometheus for telemetry signals.</w:t>
      </w:r>
    </w:p>
    <w:p>
      <w:pPr>
        <w:pStyle w:val="ListBullet"/>
      </w:pPr>
      <w:r>
        <w:t>All incidents are tagged with severity and mapped to service tiers.</w:t>
      </w:r>
    </w:p>
    <w:p>
      <w:pPr>
        <w:pStyle w:val="ListBullet"/>
      </w:pPr>
      <w:r>
        <w:t>Risk acceptance must be documented and revalidated each quarter.</w:t>
      </w:r>
    </w:p>
    <w:p>
      <w:pPr>
        <w:pStyle w:val="ListBullet"/>
      </w:pPr>
      <w:r>
        <w:t>Audit sampling occurs monthly and is summarized in leadership dashboards.</w:t>
      </w:r>
    </w:p>
    <w:p>
      <w:pPr>
        <w:pStyle w:val="ListBullet"/>
      </w:pPr>
      <w:r>
        <w:t>The process integrates with Log Aggregation Cluster and depends on Prometheus for telemetry signals.</w:t>
      </w:r>
    </w:p>
    <w:p>
      <w:pPr>
        <w:pStyle w:val="ListBullet"/>
      </w:pPr>
      <w:r>
        <w:t>This document aligns with GDPR requirements and supports APAC data residency expectations.</w:t>
      </w:r>
    </w:p>
    <w:p>
      <w:pPr>
        <w:pStyle w:val="ListBullet"/>
      </w:pPr>
      <w:r>
        <w:t>All incidents are tagged with severity and mapped to service tiers.</w:t>
      </w:r>
    </w:p>
    <w:p>
      <w:pPr>
        <w:pStyle w:val="Heading1"/>
      </w:pPr>
      <w:r>
        <w:t>Impact Analysis</w:t>
      </w:r>
    </w:p>
    <w:p>
      <w:r>
        <w:t>Evidence artifacts are retained in SAP for at least 36 months. Audit sampling occurs monthly and is summarized in leadership dashboards. Teams must log requests in SAP and track outcomes in Log Aggregation Cluster for audit readiness. Audit sampling occurs monthly and is summarized in leadership dashboards.</w:t>
      </w:r>
    </w:p>
    <w:p>
      <w:r>
        <w:t>The Legal team coordinates with HR Business Partner to maintain operational readiness. Risk acceptance must be documented and revalidated each quarter. Regional teams in APAC follow the same policy with localized legal review. Audit sampling occurs monthly and is summarized in leadership dashboards.</w:t>
      </w:r>
    </w:p>
    <w:p>
      <w:pPr>
        <w:pStyle w:val="ListBullet"/>
      </w:pPr>
      <w:r>
        <w:t>This document aligns with GDPR requirements and supports APAC data residency expectations.</w:t>
      </w:r>
    </w:p>
    <w:p>
      <w:pPr>
        <w:pStyle w:val="ListBullet"/>
      </w:pPr>
      <w:r>
        <w:t>Risk acceptance must be documented and revalidated each quarter.</w:t>
      </w:r>
    </w:p>
    <w:p>
      <w:pPr>
        <w:pStyle w:val="ListBullet"/>
      </w:pPr>
      <w:r>
        <w:t>Teams must log requests in SAP and track outcomes in Log Aggregation Cluster for audit readiness.</w:t>
      </w:r>
    </w:p>
    <w:p>
      <w:pPr>
        <w:pStyle w:val="ListBullet"/>
      </w:pPr>
      <w:r>
        <w:t>This document aligns with GDPR requirements and supports APAC data residency expectations.</w:t>
      </w:r>
    </w:p>
    <w:p>
      <w:pPr>
        <w:pStyle w:val="ListBullet"/>
      </w:pPr>
      <w:r>
        <w:t>Audit sampling occurs monthly and is summarized in leadership dashboards.</w:t>
      </w:r>
    </w:p>
    <w:p>
      <w:pPr>
        <w:pStyle w:val="ListBullet"/>
      </w:pPr>
      <w:r>
        <w:t>All changes require peer review and validation in the Log Aggregation Cluster before production promotion.</w:t>
      </w:r>
    </w:p>
    <w:p>
      <w:pPr>
        <w:pStyle w:val="Heading1"/>
      </w:pPr>
      <w:r>
        <w:t>Root Cause</w:t>
      </w:r>
    </w:p>
    <w:p>
      <w:r>
        <w:t>Regional teams in APAC follow the same policy with localized legal review. We prioritize customer impact, data integrity, and regulatory alignment. All changes require peer review and validation in the Log Aggregation Cluster before production promotion.</w:t>
      </w:r>
    </w:p>
    <w:p>
      <w:r>
        <w:t>All incidents are tagged with severity and mapped to service tiers. All incidents are tagged with severity and mapped to service tiers. Risk acceptance must be documented and revalidated each quarter. Risk acceptance must be documented and revalidated each quarter.</w:t>
      </w:r>
    </w:p>
    <w:p>
      <w:pPr>
        <w:pStyle w:val="ListBullet"/>
      </w:pPr>
      <w:r>
        <w:t>Escalations should follow the on-call rotation with a response target of 45 minutes.</w:t>
      </w:r>
    </w:p>
    <w:p>
      <w:pPr>
        <w:pStyle w:val="ListBullet"/>
      </w:pPr>
      <w:r>
        <w:t>This document aligns with GDPR requirements and supports APAC data residency expectations.</w:t>
      </w:r>
    </w:p>
    <w:p>
      <w:pPr>
        <w:pStyle w:val="ListBullet"/>
      </w:pPr>
      <w:r>
        <w:t>Escalations should follow the on-call rotation with a response target of 45 minutes.</w:t>
      </w:r>
    </w:p>
    <w:p>
      <w:pPr>
        <w:pStyle w:val="ListBullet"/>
      </w:pPr>
      <w:r>
        <w:t>The Legal organization uses Prometheus to enforce consistent service baselines.</w:t>
      </w:r>
    </w:p>
    <w:p>
      <w:pPr>
        <w:pStyle w:val="ListBullet"/>
      </w:pPr>
      <w:r>
        <w:t>The Legal team coordinates with HR Business Partner to maintain operational readiness.</w:t>
      </w:r>
    </w:p>
    <w:p>
      <w:pPr>
        <w:pStyle w:val="ListBullet"/>
      </w:pPr>
      <w:r>
        <w:t>Audit sampling occurs monthly and is summarized in leadership dashboards.</w:t>
      </w:r>
    </w:p>
    <w:p>
      <w:pPr>
        <w:pStyle w:val="Heading1"/>
      </w:pPr>
      <w:r>
        <w:t>Follow-Up Actions</w:t>
      </w:r>
    </w:p>
    <w:p>
      <w:r>
        <w:t>Teams must log requests in SAP and track outcomes in Log Aggregation Cluster for audit readiness. We prioritize customer impact, data integrity, and regulatory alignment.</w:t>
      </w:r>
    </w:p>
    <w:p>
      <w:r>
        <w:t>Audit sampling occurs monthly and is summarized in leadership dashboards. Risk acceptance must be documented and revalidated each quarter. Risk acceptance must be documented and revalidated each quarter. Regional teams in APAC follow the same policy with localized legal review.</w:t>
      </w:r>
    </w:p>
    <w:p>
      <w:pPr>
        <w:pStyle w:val="ListBullet"/>
      </w:pPr>
      <w:r>
        <w:t>Regional teams in APAC follow the same policy with localized legal review.</w:t>
      </w:r>
    </w:p>
    <w:p>
      <w:pPr>
        <w:pStyle w:val="ListBullet"/>
      </w:pPr>
      <w:r>
        <w:t>All incidents are tagged with severity and mapped to service tiers.</w:t>
      </w:r>
    </w:p>
    <w:p>
      <w:pPr>
        <w:pStyle w:val="ListBullet"/>
      </w:pPr>
      <w:r>
        <w:t>Stakeholders include the HR Business Partner, service owner, and compliance lead for approvals.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