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Legal APAC v1.0</w:t>
      </w:r>
    </w:p>
    <w:p>
      <w:r>
        <w:t>Department: Legal</w:t>
      </w:r>
    </w:p>
    <w:p>
      <w:r>
        <w:t>Author: Avery Nguyen</w:t>
      </w:r>
    </w:p>
    <w:p>
      <w:r>
        <w:t>Created date: 2025-02-20</w:t>
      </w:r>
    </w:p>
    <w:p>
      <w:r>
        <w:t>Region: APAC</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Systems are monitored via ServiceNow and alert routing in Confluence. Stakeholders include the Compliance Manager, service owner, and compliance lead for approvals. Risk acceptance must be documented and revalidated each quarter. The process integrates with Identity Access Gateway and depends on ServiceNow for telemetry signals.</w:t>
      </w:r>
    </w:p>
    <w:p>
      <w:pPr>
        <w:pStyle w:val="ListBullet"/>
      </w:pPr>
      <w:r>
        <w:t>Systems are monitored via ServiceNow and alert routing in Confluence.</w:t>
      </w:r>
    </w:p>
    <w:p>
      <w:pPr>
        <w:pStyle w:val="ListBullet"/>
      </w:pPr>
      <w:r>
        <w:t>Teams must log requests in Confluence and track outcomes in Identity Access Gateway for audit readiness.</w:t>
      </w:r>
    </w:p>
    <w:p>
      <w:pPr>
        <w:pStyle w:val="ListBullet"/>
      </w:pPr>
      <w:r>
        <w:t>Escalations should follow the on-call rotation with a response target of 60 minutes.</w:t>
      </w:r>
    </w:p>
    <w:p>
      <w:pPr>
        <w:pStyle w:val="ListBullet"/>
      </w:pPr>
      <w:r>
        <w:t>Regional teams in APAC follow the same policy with localized legal review.</w:t>
      </w:r>
    </w:p>
    <w:p>
      <w:pPr>
        <w:pStyle w:val="ListBullet"/>
      </w:pPr>
      <w:r>
        <w:t>Evidence artifacts are retained in Confluence for at least 18 months.</w:t>
      </w:r>
    </w:p>
    <w:p>
      <w:pPr>
        <w:pStyle w:val="ListBullet"/>
      </w:pPr>
      <w:r>
        <w:t>This document aligns with ISO 27001 requirements and supports APAC data residency expectations.</w:t>
      </w:r>
    </w:p>
    <w:p>
      <w:pPr>
        <w:pStyle w:val="Heading1"/>
      </w:pPr>
      <w:r>
        <w:t>Timeline</w:t>
      </w:r>
    </w:p>
    <w:p>
      <w:r>
        <w:t>All changes require peer review and validation in the Identity Access Gateway before production promotion. The process integrates with Identity Access Gateway and depends on ServiceNow for telemetry signals. Escalations should follow the on-call rotation with a response target of 60 minutes. All incidents are tagged with severity and mapped to service tiers.</w:t>
      </w:r>
    </w:p>
    <w:p>
      <w:pPr>
        <w:pStyle w:val="ListBullet"/>
      </w:pPr>
      <w:r>
        <w:t>We prioritize customer impact, data integrity, and regulatory alignment.</w:t>
      </w:r>
    </w:p>
    <w:p>
      <w:pPr>
        <w:pStyle w:val="ListBullet"/>
      </w:pPr>
      <w:r>
        <w:t>All changes require peer review and validation in the Identity Access Gateway before production promotion.</w:t>
      </w:r>
    </w:p>
    <w:p>
      <w:pPr>
        <w:pStyle w:val="ListBullet"/>
      </w:pPr>
      <w:r>
        <w:t>The process integrates with Identity Access Gateway and depends on ServiceNow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Planned</w:t>
            </w:r>
          </w:p>
        </w:tc>
      </w:tr>
      <w:tr>
        <w:tc>
          <w:tcPr>
            <w:tcW w:type="dxa" w:w="2880"/>
          </w:tcPr>
          <w:p>
            <w:r>
              <w:t>Incident drill</w:t>
            </w:r>
          </w:p>
        </w:tc>
        <w:tc>
          <w:tcPr>
            <w:tcW w:type="dxa" w:w="2880"/>
          </w:tcPr>
          <w:p>
            <w:r>
              <w:t>Operations</w:t>
            </w:r>
          </w:p>
        </w:tc>
        <w:tc>
          <w:tcPr>
            <w:tcW w:type="dxa" w:w="2880"/>
          </w:tcPr>
          <w:p>
            <w:r>
              <w:t>Planned</w:t>
            </w:r>
          </w:p>
        </w:tc>
      </w:tr>
    </w:tbl>
    <w:p>
      <w:pPr>
        <w:pStyle w:val="Heading1"/>
      </w:pPr>
      <w:r>
        <w:t>Impact Analysis</w:t>
      </w:r>
    </w:p>
    <w:p>
      <w:r>
        <w:t>Systems are monitored via ServiceNow and alert routing in Confluence. Regional teams in APAC follow the same policy with localized legal review. Risk acceptance must be documented and revalidated each quarter.</w:t>
      </w:r>
    </w:p>
    <w:p>
      <w:r>
        <w:t>Stakeholders include the Compliance Manager, service owner, and compliance lead for approvals. Systems are monitored via ServiceNow and alert routing in Confluence. Evidence artifacts are retained in Confluence for at least 18 months.</w:t>
      </w:r>
    </w:p>
    <w:p>
      <w:pPr>
        <w:pStyle w:val="ListBullet"/>
      </w:pPr>
      <w:r>
        <w:t>Audit sampling occurs monthly and is summarized in leadership dashboards.</w:t>
      </w:r>
    </w:p>
    <w:p>
      <w:pPr>
        <w:pStyle w:val="ListBullet"/>
      </w:pPr>
      <w:r>
        <w:t>Regional teams in APAC follow the same policy with localized legal review.</w:t>
      </w:r>
    </w:p>
    <w:p>
      <w:pPr>
        <w:pStyle w:val="ListBullet"/>
      </w:pPr>
      <w:r>
        <w:t>Teams must log requests in Confluence and track outcomes in Identity Access Gateway for audit readiness.</w:t>
      </w:r>
    </w:p>
    <w:p>
      <w:pPr>
        <w:pStyle w:val="Heading1"/>
      </w:pPr>
      <w:r>
        <w:t>Root Cause</w:t>
      </w:r>
    </w:p>
    <w:p>
      <w:r>
        <w:t>Escalations should follow the on-call rotation with a response target of 60 minutes. Audit sampling occurs monthly and is summarized in leadership dashboards. The Legal team coordinates with Compliance Manager to maintain operational readiness.</w:t>
      </w:r>
    </w:p>
    <w:p>
      <w:r>
        <w:t>Evidence artifacts are retained in Confluence for at least 18 months. We prioritize customer impact, data integrity, and regulatory alignment. We prioritize customer impact, data integrity, and regulatory alignment.</w:t>
      </w:r>
    </w:p>
    <w:p>
      <w:pPr>
        <w:pStyle w:val="ListBullet"/>
      </w:pPr>
      <w:r>
        <w:t>The Legal organization uses ServiceNow to enforce consistent service baselines.</w:t>
      </w:r>
    </w:p>
    <w:p>
      <w:pPr>
        <w:pStyle w:val="ListBullet"/>
      </w:pPr>
      <w:r>
        <w:t>Escalations should follow the on-call rotation with a response target of 60 minutes.</w:t>
      </w:r>
    </w:p>
    <w:p>
      <w:pPr>
        <w:pStyle w:val="ListBullet"/>
      </w:pPr>
      <w:r>
        <w:t>Regional teams in APAC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Legal</w:t>
            </w:r>
          </w:p>
        </w:tc>
        <w:tc>
          <w:tcPr>
            <w:tcW w:type="dxa" w:w="2880"/>
          </w:tcPr>
          <w:p>
            <w:r>
              <w:t>Complete</w:t>
            </w:r>
          </w:p>
        </w:tc>
      </w:tr>
      <w:tr>
        <w:tc>
          <w:tcPr>
            <w:tcW w:type="dxa" w:w="2880"/>
          </w:tcPr>
          <w:p>
            <w:r>
              <w:t>Incident drill</w:t>
            </w:r>
          </w:p>
        </w:tc>
        <w:tc>
          <w:tcPr>
            <w:tcW w:type="dxa" w:w="2880"/>
          </w:tcPr>
          <w:p>
            <w:r>
              <w:t>Compliance Manager</w:t>
            </w:r>
          </w:p>
        </w:tc>
        <w:tc>
          <w:tcPr>
            <w:tcW w:type="dxa" w:w="2880"/>
          </w:tcPr>
          <w:p>
            <w:r>
              <w:t>Complete</w:t>
            </w:r>
          </w:p>
        </w:tc>
      </w:tr>
      <w:tr>
        <w:tc>
          <w:tcPr>
            <w:tcW w:type="dxa" w:w="2880"/>
          </w:tcPr>
          <w:p>
            <w:r>
              <w:t>Vendor check</w:t>
            </w:r>
          </w:p>
        </w:tc>
        <w:tc>
          <w:tcPr>
            <w:tcW w:type="dxa" w:w="2880"/>
          </w:tcPr>
          <w:p>
            <w:r>
              <w:t>Security</w:t>
            </w:r>
          </w:p>
        </w:tc>
        <w:tc>
          <w:tcPr>
            <w:tcW w:type="dxa" w:w="2880"/>
          </w:tcPr>
          <w:p>
            <w:r>
              <w:t>Blocked</w:t>
            </w:r>
          </w:p>
        </w:tc>
      </w:tr>
    </w:tbl>
    <w:p>
      <w:pPr>
        <w:pStyle w:val="Heading1"/>
      </w:pPr>
      <w:r>
        <w:t>Follow-Up Actions</w:t>
      </w:r>
    </w:p>
    <w:p>
      <w:r>
        <w:t>Escalations should follow the on-call rotation with a response target of 60 minutes. The Legal organization uses ServiceNow to enforce consistent service baselines.</w:t>
      </w:r>
    </w:p>
    <w:p>
      <w:pPr>
        <w:pStyle w:val="ListBullet"/>
      </w:pPr>
      <w:r>
        <w:t>Evidence artifacts are retained in Confluence for at least 18 months.</w:t>
      </w:r>
    </w:p>
    <w:p>
      <w:pPr>
        <w:pStyle w:val="ListBullet"/>
      </w:pPr>
      <w:r>
        <w:t>Teams must log requests in Confluence and track outcomes in Identity Access Gateway for audit readiness.</w:t>
      </w:r>
    </w:p>
    <w:p>
      <w:pPr>
        <w:pStyle w:val="ListBullet"/>
      </w:pPr>
      <w:r>
        <w:t>The Legal organization uses ServiceNow to enforce consistent service baselines.</w:t>
      </w:r>
    </w:p>
    <w:p>
      <w:pPr>
        <w:pStyle w:val="ListBullet"/>
      </w:pPr>
      <w:r>
        <w:t>We prioritize customer impact, data integrity, and regulatory alignment.</w:t>
      </w:r>
    </w:p>
    <w:p>
      <w:pPr>
        <w:pStyle w:val="ListBullet"/>
      </w:pPr>
      <w:r>
        <w:t>All changes require peer review and validation in the Identity Access Gateway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