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Operations EU v1.2</w:t>
      </w:r>
    </w:p>
    <w:p>
      <w:r>
        <w:t>Department: Operations</w:t>
      </w:r>
    </w:p>
    <w:p>
      <w:r>
        <w:t>Author: Riley Patel</w:t>
      </w:r>
    </w:p>
    <w:p>
      <w:r>
        <w:t>Created date: 2024-07-08</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Regional teams in EU follow the same policy with localized legal review. The process integrates with Monitoring Stack and depends on Datadog for telemetry signals.</w:t>
      </w:r>
    </w:p>
    <w:p>
      <w:r>
        <w:t>We prioritize customer impact, data integrity, and regulatory alignment. All incidents are tagged with severity and mapped to service tiers. Risk acceptance must be documented and revalidated each quarter.</w:t>
      </w:r>
    </w:p>
    <w:p>
      <w:pPr>
        <w:pStyle w:val="ListBullet"/>
      </w:pPr>
      <w:r>
        <w:t>Risk acceptance must be documented and revalidated each quarter.</w:t>
      </w:r>
    </w:p>
    <w:p>
      <w:pPr>
        <w:pStyle w:val="ListBullet"/>
      </w:pPr>
      <w:r>
        <w:t>This document aligns with ISO 27001 requirements and supports EU data residency expectations.</w:t>
      </w:r>
    </w:p>
    <w:p>
      <w:pPr>
        <w:pStyle w:val="ListBullet"/>
      </w:pPr>
      <w:r>
        <w:t>Evidence artifacts are retained in Salesforce for at least 24 months.</w:t>
      </w:r>
    </w:p>
    <w:p>
      <w:pPr>
        <w:pStyle w:val="ListBullet"/>
      </w:pPr>
      <w:r>
        <w:t>This document aligns with ISO 27001 requirements and supports EU data residency expectations.</w:t>
      </w:r>
    </w:p>
    <w:p>
      <w:pPr>
        <w:pStyle w:val="ListBullet"/>
      </w:pPr>
      <w:r>
        <w:t>The process integrates with Monitoring Stack and depends on Datadog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Release Manager</w:t>
            </w:r>
          </w:p>
        </w:tc>
        <w:tc>
          <w:tcPr>
            <w:tcW w:type="dxa" w:w="2880"/>
          </w:tcPr>
          <w:p>
            <w:r>
              <w:t>Planned</w:t>
            </w:r>
          </w:p>
        </w:tc>
      </w:tr>
      <w:tr>
        <w:tc>
          <w:tcPr>
            <w:tcW w:type="dxa" w:w="2880"/>
          </w:tcPr>
          <w:p>
            <w:r>
              <w:t>Vendor check</w:t>
            </w:r>
          </w:p>
        </w:tc>
        <w:tc>
          <w:tcPr>
            <w:tcW w:type="dxa" w:w="2880"/>
          </w:tcPr>
          <w:p>
            <w:r>
              <w:t>Security</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bl>
    <w:p>
      <w:pPr>
        <w:pStyle w:val="Heading1"/>
      </w:pPr>
      <w:r>
        <w:t>Timeline</w:t>
      </w:r>
    </w:p>
    <w:p>
      <w:r>
        <w:t>Regional teams in EU follow the same policy with localized legal review. Risk acceptance must be documented and revalidated each quarter. Evidence artifacts are retained in Salesforce for at least 24 months.</w:t>
      </w:r>
    </w:p>
    <w:p>
      <w:pPr>
        <w:pStyle w:val="ListBullet"/>
      </w:pPr>
      <w:r>
        <w:t>We prioritize customer impact, data integrity, and regulatory alignment.</w:t>
      </w:r>
    </w:p>
    <w:p>
      <w:pPr>
        <w:pStyle w:val="ListBullet"/>
      </w:pPr>
      <w:r>
        <w:t>The Operations team coordinates with Release Manager to maintain operational readiness.</w:t>
      </w:r>
    </w:p>
    <w:p>
      <w:pPr>
        <w:pStyle w:val="ListBullet"/>
      </w:pPr>
      <w:r>
        <w:t>All incidents are tagged with severity and mapped to service tiers.</w:t>
      </w:r>
    </w:p>
    <w:p>
      <w:pPr>
        <w:pStyle w:val="ListBullet"/>
      </w:pPr>
      <w:r>
        <w:t>The Operations team coordinates with Release Manager to maintain operational readiness.</w:t>
      </w:r>
    </w:p>
    <w:p>
      <w:pPr>
        <w:pStyle w:val="ListBullet"/>
      </w:pPr>
      <w:r>
        <w:t>Evidence artifacts are retained in Salesforce for at least 24 months.</w:t>
      </w:r>
    </w:p>
    <w:p>
      <w:pPr>
        <w:pStyle w:val="Heading1"/>
      </w:pPr>
      <w:r>
        <w:t>Impact Analysis</w:t>
      </w:r>
    </w:p>
    <w:p>
      <w:r>
        <w:t>The Operations organization uses Datadog to enforce consistent service baselines. This document aligns with ISO 27001 requirements and supports EU data residency expectations. Evidence artifacts are retained in Salesforce for at least 24 months. The process integrates with Monitoring Stack and depends on Datadog for telemetry signals.</w:t>
      </w:r>
    </w:p>
    <w:p>
      <w:r>
        <w:t>Teams must log requests in Salesforce and track outcomes in Monitoring Stack for audit readiness. Systems are monitored via Datadog and alert routing in Salesforce.</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Evidence artifacts are retained in Salesforce for at least 24 months.</w:t>
      </w:r>
    </w:p>
    <w:p>
      <w:pPr>
        <w:pStyle w:val="Heading1"/>
      </w:pPr>
      <w:r>
        <w:t>Root Cause</w:t>
      </w:r>
    </w:p>
    <w:p>
      <w:r>
        <w:t>All incidents are tagged with severity and mapped to service tiers. Evidence artifacts are retained in Salesforce for at least 24 months. Risk acceptance must be documented and revalidated each quarter.</w:t>
      </w:r>
    </w:p>
    <w:p>
      <w:r>
        <w:t>All changes require peer review and validation in the Monitoring Stack before production promotion. Systems are monitored via Datadog and alert routing in Salesforce. Risk acceptance must be documented and revalidated each quarter. Risk acceptance must be documented and revalidated each quarter.</w:t>
      </w:r>
    </w:p>
    <w:p>
      <w:pPr>
        <w:pStyle w:val="ListBullet"/>
      </w:pPr>
      <w:r>
        <w:t>All changes require peer review and validation in the Monitoring Stack before production promotion.</w:t>
      </w:r>
    </w:p>
    <w:p>
      <w:pPr>
        <w:pStyle w:val="ListBullet"/>
      </w:pPr>
      <w:r>
        <w:t>All incidents are tagged with severity and mapped to service tiers.</w:t>
      </w:r>
    </w:p>
    <w:p>
      <w:pPr>
        <w:pStyle w:val="ListBullet"/>
      </w:pPr>
      <w:r>
        <w:t>The Operations team coordinates with Release Manager to maintain operational readiness.</w:t>
      </w:r>
    </w:p>
    <w:p>
      <w:pPr>
        <w:pStyle w:val="ListBullet"/>
      </w:pPr>
      <w:r>
        <w:t>The Operations organization uses Datadog to enforce consistent service baselines.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Security</w:t>
            </w:r>
          </w:p>
        </w:tc>
        <w:tc>
          <w:tcPr>
            <w:tcW w:type="dxa" w:w="2880"/>
          </w:tcPr>
          <w:p>
            <w:r>
              <w:t>Blocked</w:t>
            </w:r>
          </w:p>
        </w:tc>
      </w:tr>
      <w:tr>
        <w:tc>
          <w:tcPr>
            <w:tcW w:type="dxa" w:w="2880"/>
          </w:tcPr>
          <w:p>
            <w:r>
              <w:t>Incident drill</w:t>
            </w:r>
          </w:p>
        </w:tc>
        <w:tc>
          <w:tcPr>
            <w:tcW w:type="dxa" w:w="2880"/>
          </w:tcPr>
          <w:p>
            <w:r>
              <w:t>Operations</w:t>
            </w:r>
          </w:p>
        </w:tc>
        <w:tc>
          <w:tcPr>
            <w:tcW w:type="dxa" w:w="2880"/>
          </w:tcPr>
          <w:p>
            <w:r>
              <w:t>Blocked</w:t>
            </w:r>
          </w:p>
        </w:tc>
      </w:tr>
    </w:tbl>
    <w:p>
      <w:pPr>
        <w:pStyle w:val="Heading1"/>
      </w:pPr>
      <w:r>
        <w:t>Follow-Up Actions</w:t>
      </w:r>
    </w:p>
    <w:p>
      <w:r>
        <w:t>Systems are monitored via Datadog and alert routing in Salesforce. Stakeholders include the Release Manager, service owner, and compliance lead for approvals. All incidents are tagged with severity and mapped to service tiers. All incidents are tagged with severity and mapped to service tiers.</w:t>
      </w:r>
    </w:p>
    <w:p>
      <w:r>
        <w:t>Escalations should follow the on-call rotation with a response target of 15 minutes. The Operations team coordinates with Release Manager to maintain operational readiness. The Operations team coordinates with Release Manager to maintain operational readiness. Regional teams in EU follow the same policy with localized legal review.</w:t>
      </w:r>
    </w:p>
    <w:p>
      <w:pPr>
        <w:pStyle w:val="ListBullet"/>
      </w:pPr>
      <w:r>
        <w:t>We prioritize customer impact, data integrity, and regulatory alignment.</w:t>
      </w:r>
    </w:p>
    <w:p>
      <w:pPr>
        <w:pStyle w:val="ListBullet"/>
      </w:pPr>
      <w:r>
        <w:t>The process integrates with Monitoring Stack and depends on Datadog for telemetry signals.</w:t>
      </w:r>
    </w:p>
    <w:p>
      <w:pPr>
        <w:pStyle w:val="ListBullet"/>
      </w:pPr>
      <w:r>
        <w:t>The process integrates with Monitoring Stack and depends on Datadog for telemetry signals.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The process integrates with Monitoring Stack and depends on Datadog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