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Product APAC v3.0</w:t>
      </w:r>
    </w:p>
    <w:p>
      <w:r>
        <w:t>Department: Product</w:t>
      </w:r>
    </w:p>
    <w:p>
      <w:r>
        <w:t>Author: Riley Lee</w:t>
      </w:r>
    </w:p>
    <w:p>
      <w:r>
        <w:t>Created date: 2025-07-21</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All incidents are tagged with severity and mapped to service tiers. All changes require peer review and validation in the CRM Platform before production promotion. The Product organization uses Terraform to enforce consistent service baselines.</w:t>
      </w:r>
    </w:p>
    <w:p>
      <w:r>
        <w:t>All changes require peer review and validation in the CRM Platform before production promotion. Teams must log requests in Microsoft 365 and track outcomes in CRM Platform for audit readiness. Escalations should follow the on-call rotation with a response target of 60 minutes. Audit sampling occurs monthly and is summarized in leadership dashboards.</w:t>
      </w:r>
    </w:p>
    <w:p>
      <w:pPr>
        <w:pStyle w:val="ListBullet"/>
      </w:pPr>
      <w:r>
        <w:t>Stakeholders include the Product Manager, service owner, and compliance lead for approvals.</w:t>
      </w:r>
    </w:p>
    <w:p>
      <w:pPr>
        <w:pStyle w:val="ListBullet"/>
      </w:pPr>
      <w:r>
        <w:t>All changes require peer review and validation in the CRM Platform before production promotion.</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Patch window</w:t>
            </w:r>
          </w:p>
        </w:tc>
        <w:tc>
          <w:tcPr>
            <w:tcW w:type="dxa" w:w="2880"/>
          </w:tcPr>
          <w:p>
            <w:r>
              <w:t>Product</w:t>
            </w:r>
          </w:p>
        </w:tc>
        <w:tc>
          <w:tcPr>
            <w:tcW w:type="dxa" w:w="2880"/>
          </w:tcPr>
          <w:p>
            <w:r>
              <w:t>Planned</w:t>
            </w:r>
          </w:p>
        </w:tc>
      </w:tr>
      <w:tr>
        <w:tc>
          <w:tcPr>
            <w:tcW w:type="dxa" w:w="2880"/>
          </w:tcPr>
          <w:p>
            <w:r>
              <w:t>Incident drill</w:t>
            </w:r>
          </w:p>
        </w:tc>
        <w:tc>
          <w:tcPr>
            <w:tcW w:type="dxa" w:w="2880"/>
          </w:tcPr>
          <w:p>
            <w:r>
              <w:t>Product Manager</w:t>
            </w:r>
          </w:p>
        </w:tc>
        <w:tc>
          <w:tcPr>
            <w:tcW w:type="dxa" w:w="2880"/>
          </w:tcPr>
          <w:p>
            <w:r>
              <w:t>In Progress</w:t>
            </w:r>
          </w:p>
        </w:tc>
      </w:tr>
    </w:tbl>
    <w:p>
      <w:pPr>
        <w:pStyle w:val="Heading1"/>
      </w:pPr>
      <w:r>
        <w:t>Timeline</w:t>
      </w:r>
    </w:p>
    <w:p>
      <w:r>
        <w:t>Teams must log requests in Microsoft 365 and track outcomes in CRM Platform for audit readiness. This document aligns with SOC 2 requirements and supports APAC data residency expectations. Regional teams in APAC follow the same policy with localized legal review. Audit sampling occurs monthly and is summarized in leadership dashboards.</w:t>
      </w:r>
    </w:p>
    <w:p>
      <w:r>
        <w:t>We prioritize customer impact, data integrity, and regulatory alignment. The Product organization uses Terraform to enforce consistent service baselines. The process integrates with CRM Platform and depends on Terraform for telemetry signals. The Product organization uses Terraform to enforce consistent service baselines.</w:t>
      </w:r>
    </w:p>
    <w:p>
      <w:pPr>
        <w:pStyle w:val="ListBullet"/>
      </w:pPr>
      <w:r>
        <w:t>Escalations should follow the on-call rotation with a response target of 60 minutes.</w:t>
      </w:r>
    </w:p>
    <w:p>
      <w:pPr>
        <w:pStyle w:val="ListBullet"/>
      </w:pPr>
      <w:r>
        <w:t>Regional teams in APAC follow the same policy with localized legal review.</w:t>
      </w:r>
    </w:p>
    <w:p>
      <w:pPr>
        <w:pStyle w:val="ListBullet"/>
      </w:pPr>
      <w:r>
        <w:t>Regional teams in APAC follow the same policy with localized legal review.</w:t>
      </w:r>
    </w:p>
    <w:p>
      <w:pPr>
        <w:pStyle w:val="ListBullet"/>
      </w:pPr>
      <w:r>
        <w:t>Evidence artifacts are retained in Microsoft 365 for at least 18 months.</w:t>
      </w:r>
    </w:p>
    <w:p>
      <w:pPr>
        <w:pStyle w:val="ListBullet"/>
      </w:pPr>
      <w:r>
        <w:t>The Product organization uses Terraform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Product</w:t>
            </w:r>
          </w:p>
        </w:tc>
        <w:tc>
          <w:tcPr>
            <w:tcW w:type="dxa" w:w="2880"/>
          </w:tcPr>
          <w:p>
            <w:r>
              <w:t>In Progress</w:t>
            </w:r>
          </w:p>
        </w:tc>
      </w:tr>
      <w:tr>
        <w:tc>
          <w:tcPr>
            <w:tcW w:type="dxa" w:w="2880"/>
          </w:tcPr>
          <w:p>
            <w:r>
              <w:t>Vendor check</w:t>
            </w:r>
          </w:p>
        </w:tc>
        <w:tc>
          <w:tcPr>
            <w:tcW w:type="dxa" w:w="2880"/>
          </w:tcPr>
          <w:p>
            <w:r>
              <w:t>Product Manager</w:t>
            </w:r>
          </w:p>
        </w:tc>
        <w:tc>
          <w:tcPr>
            <w:tcW w:type="dxa" w:w="2880"/>
          </w:tcPr>
          <w:p>
            <w:r>
              <w:t>Blocked</w:t>
            </w:r>
          </w:p>
        </w:tc>
      </w:tr>
      <w:tr>
        <w:tc>
          <w:tcPr>
            <w:tcW w:type="dxa" w:w="2880"/>
          </w:tcPr>
          <w:p>
            <w:r>
              <w:t>Backup validation</w:t>
            </w:r>
          </w:p>
        </w:tc>
        <w:tc>
          <w:tcPr>
            <w:tcW w:type="dxa" w:w="2880"/>
          </w:tcPr>
          <w:p>
            <w:r>
              <w:t>Product Manager</w:t>
            </w:r>
          </w:p>
        </w:tc>
        <w:tc>
          <w:tcPr>
            <w:tcW w:type="dxa" w:w="2880"/>
          </w:tcPr>
          <w:p>
            <w:r>
              <w:t>Blocked</w:t>
            </w:r>
          </w:p>
        </w:tc>
      </w:tr>
    </w:tbl>
    <w:p>
      <w:pPr>
        <w:pStyle w:val="Heading1"/>
      </w:pPr>
      <w:r>
        <w:t>Impact Analysis</w:t>
      </w:r>
    </w:p>
    <w:p>
      <w:r>
        <w:t>All incidents are tagged with severity and mapped to service tiers. Stakeholders include the Product Manager, service owner, and compliance lead for approvals.</w:t>
      </w:r>
    </w:p>
    <w:p>
      <w:pPr>
        <w:pStyle w:val="ListBullet"/>
      </w:pPr>
      <w:r>
        <w:t>Stakeholders include the Product Manager, service owner, and compliance lead for approvals.</w:t>
      </w:r>
    </w:p>
    <w:p>
      <w:pPr>
        <w:pStyle w:val="ListBullet"/>
      </w:pPr>
      <w:r>
        <w:t>All changes require peer review and validation in the CRM Platform before production promotion.</w:t>
      </w:r>
    </w:p>
    <w:p>
      <w:pPr>
        <w:pStyle w:val="ListBullet"/>
      </w:pPr>
      <w:r>
        <w:t>Audit sampling occurs monthly and is summarized in leadership dashboards.</w:t>
      </w:r>
    </w:p>
    <w:p>
      <w:pPr>
        <w:pStyle w:val="Heading1"/>
      </w:pPr>
      <w:r>
        <w:t>Root Cause</w:t>
      </w:r>
    </w:p>
    <w:p>
      <w:r>
        <w:t>This document aligns with SOC 2 requirements and supports APAC data residency expectations. Regional teams in APAC follow the same policy with localized legal review. Evidence artifacts are retained in Microsoft 365 for at least 18 months.</w:t>
      </w:r>
    </w:p>
    <w:p>
      <w:r>
        <w:t>The Product team coordinates with Product Manager to maintain operational readiness. The Product organization uses Terraform to enforce consistent service baselines.</w:t>
      </w:r>
    </w:p>
    <w:p>
      <w:pPr>
        <w:pStyle w:val="ListBullet"/>
      </w:pPr>
      <w:r>
        <w:t>Systems are monitored via Terraform and alert routing in Microsoft 365.</w:t>
      </w:r>
    </w:p>
    <w:p>
      <w:pPr>
        <w:pStyle w:val="ListBullet"/>
      </w:pPr>
      <w:r>
        <w:t>Escalations should follow the on-call rotation with a response target of 60 minutes.</w:t>
      </w:r>
    </w:p>
    <w:p>
      <w:pPr>
        <w:pStyle w:val="ListBullet"/>
      </w:pPr>
      <w:r>
        <w:t>We prioritize customer impact, data integrity, and regulatory alignment.</w:t>
      </w:r>
    </w:p>
    <w:p>
      <w:pPr>
        <w:pStyle w:val="Heading1"/>
      </w:pPr>
      <w:r>
        <w:t>Follow-Up Actions</w:t>
      </w:r>
    </w:p>
    <w:p>
      <w:r>
        <w:t>Audit sampling occurs monthly and is summarized in leadership dashboards. Evidence artifacts are retained in Microsoft 365 for at least 18 months.</w:t>
      </w:r>
    </w:p>
    <w:p>
      <w:pPr>
        <w:pStyle w:val="ListBullet"/>
      </w:pPr>
      <w:r>
        <w:t>Stakeholders include the Product Manager, service owner, and compliance lead for approvals.</w:t>
      </w:r>
    </w:p>
    <w:p>
      <w:pPr>
        <w:pStyle w:val="ListBullet"/>
      </w:pPr>
      <w:r>
        <w:t>The process integrates with CRM Platform and depends on Terraform for telemetry signals.</w:t>
      </w:r>
    </w:p>
    <w:p>
      <w:pPr>
        <w:pStyle w:val="ListBullet"/>
      </w:pPr>
      <w:r>
        <w:t>Escalations should follow the on-call rotation with a response target of 60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