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Product EU v1.1</w:t>
      </w:r>
    </w:p>
    <w:p>
      <w:r>
        <w:t>Department: Product</w:t>
      </w:r>
    </w:p>
    <w:p>
      <w:r>
        <w:t>Author: Avery Kim</w:t>
      </w:r>
    </w:p>
    <w:p>
      <w:r>
        <w:t>Created date: 2025-08-27</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Regional teams in EU follow the same policy with localized legal review. Audit sampling occurs monthly and is summarized in leadership dashboards.</w:t>
      </w:r>
    </w:p>
    <w:p>
      <w:r>
        <w:t>Stakeholders include the Systems Engineer, service owner, and compliance lead for approvals. All incidents are tagged with severity and mapped to service tiers. All incidents are tagged with severity and mapped to service tiers. Teams must log requests in Jira and track outcomes in Document Repository for audit readiness.</w:t>
      </w:r>
    </w:p>
    <w:p>
      <w:pPr>
        <w:pStyle w:val="ListBullet"/>
      </w:pPr>
      <w:r>
        <w:t>Teams must log requests in Jira and track outcomes in Document Repository for audit readiness.</w:t>
      </w:r>
    </w:p>
    <w:p>
      <w:pPr>
        <w:pStyle w:val="ListBullet"/>
      </w:pPr>
      <w:r>
        <w:t>Audit sampling occurs monthly and is summarized in leadership dashboards.</w:t>
      </w:r>
    </w:p>
    <w:p>
      <w:pPr>
        <w:pStyle w:val="ListBullet"/>
      </w:pPr>
      <w:r>
        <w:t>Teams must log requests in Jira and track outcomes in Document Repository for audit readiness.</w:t>
      </w:r>
    </w:p>
    <w:p>
      <w:pPr>
        <w:pStyle w:val="Heading1"/>
      </w:pPr>
      <w:r>
        <w:t>Timeline</w:t>
      </w:r>
    </w:p>
    <w:p>
      <w:r>
        <w:t>This document aligns with PCI DSS requirements and supports EU data residency expectations. The process integrates with Document Repository and depends on GCP for telemetry signals. The process integrates with Document Repository and depends on GCP for telemetry signals.</w:t>
      </w:r>
    </w:p>
    <w:p>
      <w:pPr>
        <w:pStyle w:val="ListBullet"/>
      </w:pPr>
      <w:r>
        <w:t>Escalations should follow the on-call rotation with a response target of 30 minutes.</w:t>
      </w:r>
    </w:p>
    <w:p>
      <w:pPr>
        <w:pStyle w:val="ListBullet"/>
      </w:pPr>
      <w:r>
        <w:t>The Product organization uses GCP to enforce consistent service baselines.</w:t>
      </w:r>
    </w:p>
    <w:p>
      <w:pPr>
        <w:pStyle w:val="ListBullet"/>
      </w:pPr>
      <w:r>
        <w:t>Escalations should follow the on-call rotation with a response target of 30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Systems Engineer</w:t>
            </w:r>
          </w:p>
        </w:tc>
        <w:tc>
          <w:tcPr>
            <w:tcW w:type="dxa" w:w="2880"/>
          </w:tcPr>
          <w:p>
            <w:r>
              <w:t>In Progress</w:t>
            </w:r>
          </w:p>
        </w:tc>
      </w:tr>
      <w:tr>
        <w:tc>
          <w:tcPr>
            <w:tcW w:type="dxa" w:w="2880"/>
          </w:tcPr>
          <w:p>
            <w:r>
              <w:t>Patch window</w:t>
            </w:r>
          </w:p>
        </w:tc>
        <w:tc>
          <w:tcPr>
            <w:tcW w:type="dxa" w:w="2880"/>
          </w:tcPr>
          <w:p>
            <w:r>
              <w:t>Operations</w:t>
            </w:r>
          </w:p>
        </w:tc>
        <w:tc>
          <w:tcPr>
            <w:tcW w:type="dxa" w:w="2880"/>
          </w:tcPr>
          <w:p>
            <w:r>
              <w:t>Complete</w:t>
            </w:r>
          </w:p>
        </w:tc>
      </w:tr>
      <w:tr>
        <w:tc>
          <w:tcPr>
            <w:tcW w:type="dxa" w:w="2880"/>
          </w:tcPr>
          <w:p>
            <w:r>
              <w:t>Vendor check</w:t>
            </w:r>
          </w:p>
        </w:tc>
        <w:tc>
          <w:tcPr>
            <w:tcW w:type="dxa" w:w="2880"/>
          </w:tcPr>
          <w:p>
            <w:r>
              <w:t>Systems Engineer</w:t>
            </w:r>
          </w:p>
        </w:tc>
        <w:tc>
          <w:tcPr>
            <w:tcW w:type="dxa" w:w="2880"/>
          </w:tcPr>
          <w:p>
            <w:r>
              <w:t>Complete</w:t>
            </w:r>
          </w:p>
        </w:tc>
      </w:tr>
    </w:tbl>
    <w:p>
      <w:pPr>
        <w:pStyle w:val="Heading1"/>
      </w:pPr>
      <w:r>
        <w:t>Impact Analysis</w:t>
      </w:r>
    </w:p>
    <w:p>
      <w:r>
        <w:t>Stakeholders include the Systems Engineer, service owner, and compliance lead for approvals. The process integrates with Document Repository and depends on GCP for telemetry signals.</w:t>
      </w:r>
    </w:p>
    <w:p>
      <w:r>
        <w:t>Regional teams in EU follow the same policy with localized legal review. We prioritize customer impact, data integrity, and regulatory alignment.</w:t>
      </w:r>
    </w:p>
    <w:p>
      <w:pPr>
        <w:pStyle w:val="ListBullet"/>
      </w:pPr>
      <w:r>
        <w:t>All changes require peer review and validation in the Document Repository before production promotion.</w:t>
      </w:r>
    </w:p>
    <w:p>
      <w:pPr>
        <w:pStyle w:val="ListBullet"/>
      </w:pPr>
      <w:r>
        <w:t>Evidence artifacts are retained in Jira for at least 36 months.</w:t>
      </w:r>
    </w:p>
    <w:p>
      <w:pPr>
        <w:pStyle w:val="ListBullet"/>
      </w:pPr>
      <w:r>
        <w:t>All changes require peer review and validation in the Document Repository before production promotion.</w:t>
      </w:r>
    </w:p>
    <w:p>
      <w:pPr>
        <w:pStyle w:val="ListBullet"/>
      </w:pPr>
      <w:r>
        <w:t>The Product team coordinates with Systems Engineer to maintain operational readiness.</w:t>
      </w:r>
    </w:p>
    <w:p>
      <w:pPr>
        <w:pStyle w:val="Heading1"/>
      </w:pPr>
      <w:r>
        <w:t>Root Cause</w:t>
      </w:r>
    </w:p>
    <w:p>
      <w:r>
        <w:t>Teams must log requests in Jira and track outcomes in Document Repository for audit readiness. The Product organization uses GCP to enforce consistent service baselines. Audit sampling occurs monthly and is summarized in leadership dashboards. Risk acceptance must be documented and revalidated each quarter.</w:t>
      </w:r>
    </w:p>
    <w:p>
      <w:r>
        <w:t>We prioritize customer impact, data integrity, and regulatory alignment. All changes require peer review and validation in the Document Repository before production promotion. Stakeholders include the Systems Engineer, service owner, and compliance lead for approvals. Regional teams in EU follow the same policy with localized legal review.</w:t>
      </w:r>
    </w:p>
    <w:p>
      <w:pPr>
        <w:pStyle w:val="ListBullet"/>
      </w:pPr>
      <w:r>
        <w:t>All incidents are tagged with severity and mapped to service tiers.</w:t>
      </w:r>
    </w:p>
    <w:p>
      <w:pPr>
        <w:pStyle w:val="ListBullet"/>
      </w:pPr>
      <w:r>
        <w:t>Escalations should follow the on-call rotation with a response target of 30 minutes.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The Product team coordinates with Systems Engineer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Planned</w:t>
            </w:r>
          </w:p>
        </w:tc>
      </w:tr>
      <w:tr>
        <w:tc>
          <w:tcPr>
            <w:tcW w:type="dxa" w:w="2880"/>
          </w:tcPr>
          <w:p>
            <w:r>
              <w:t>Patch window</w:t>
            </w:r>
          </w:p>
        </w:tc>
        <w:tc>
          <w:tcPr>
            <w:tcW w:type="dxa" w:w="2880"/>
          </w:tcPr>
          <w:p>
            <w:r>
              <w:t>Security</w:t>
            </w:r>
          </w:p>
        </w:tc>
        <w:tc>
          <w:tcPr>
            <w:tcW w:type="dxa" w:w="2880"/>
          </w:tcPr>
          <w:p>
            <w:r>
              <w:t>Complete</w:t>
            </w:r>
          </w:p>
        </w:tc>
      </w:tr>
    </w:tbl>
    <w:p>
      <w:pPr>
        <w:pStyle w:val="Heading1"/>
      </w:pPr>
      <w:r>
        <w:t>Follow-Up Actions</w:t>
      </w:r>
    </w:p>
    <w:p>
      <w:r>
        <w:t>Risk acceptance must be documented and revalidated each quarter. We prioritize customer impact, data integrity, and regulatory alignment. All incidents are tagged with severity and mapped to service tiers.</w:t>
      </w:r>
    </w:p>
    <w:p>
      <w:r>
        <w:t>All incidents are tagged with severity and mapped to service tiers. Regional teams in EU follow the same policy with localized legal review.</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The Product organization uses GCP to enforce consistent service baselines.</w:t>
      </w:r>
    </w:p>
    <w:p>
      <w:pPr>
        <w:pStyle w:val="ListBullet"/>
      </w:pPr>
      <w:r>
        <w:t>This document aligns with PCI DSS requirements and supports EU data residency expectations.</w:t>
      </w:r>
    </w:p>
    <w:p>
      <w:pPr>
        <w:pStyle w:val="ListBullet"/>
      </w:pPr>
      <w:r>
        <w:t>Regional teams in EU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