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Incident Reports - Product EU v2.1</w:t>
      </w:r>
    </w:p>
    <w:p>
      <w:r>
        <w:t>Department: Product</w:t>
      </w:r>
    </w:p>
    <w:p>
      <w:r>
        <w:t>Author: Alex Kim</w:t>
      </w:r>
    </w:p>
    <w:p>
      <w:r>
        <w:t>Created date: 2025-03-09</w:t>
      </w:r>
    </w:p>
    <w:p>
      <w:r>
        <w:t>Region: EU</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Incident Summary</w:t>
      </w:r>
    </w:p>
    <w:p>
      <w:r>
        <w:t>This document aligns with SOX requirements and supports EU data residency expectations. We prioritize customer impact, data integrity, and regulatory alignment.</w:t>
      </w:r>
    </w:p>
    <w:p>
      <w:r>
        <w:t>Audit sampling occurs monthly and is summarized in leadership dashboards. This document aligns with SOX requirements and supports EU data residency expectations. This document aligns with SOX requirements and supports EU data residency expectations. Stakeholders include the Finance Analyst, service owner, and compliance lead for approvals.</w:t>
      </w:r>
    </w:p>
    <w:p>
      <w:pPr>
        <w:pStyle w:val="ListBullet"/>
      </w:pPr>
      <w:r>
        <w:t>Teams must log requests in SAP and track outcomes in Document Repository for audit readiness.</w:t>
      </w:r>
    </w:p>
    <w:p>
      <w:pPr>
        <w:pStyle w:val="ListBullet"/>
      </w:pPr>
      <w:r>
        <w:t>We prioritize customer impact, data integrity, and regulatory alignment.</w:t>
      </w:r>
    </w:p>
    <w:p>
      <w:pPr>
        <w:pStyle w:val="ListBullet"/>
      </w:pPr>
      <w:r>
        <w:t>Audit sampling occurs monthly and is summarized in leadership dashboards.</w:t>
      </w:r>
    </w:p>
    <w:p>
      <w:pPr>
        <w:pStyle w:val="ListBullet"/>
      </w:pPr>
      <w:r>
        <w:t>Teams must log requests in SAP and track outcomes in Document Repository for audit readiness.</w:t>
      </w:r>
    </w:p>
    <w:p>
      <w:pPr>
        <w:pStyle w:val="ListBullet"/>
      </w:pPr>
      <w:r>
        <w:t>Risk acceptance must be documented and revalidated each quarter.</w:t>
      </w:r>
    </w:p>
    <w:p>
      <w:pPr>
        <w:pStyle w:val="ListBullet"/>
      </w:pPr>
      <w:r>
        <w:t>Risk acceptance must be documented and revalidated each quarter.</w:t>
      </w:r>
    </w:p>
    <w:p>
      <w:pPr>
        <w:pStyle w:val="Heading1"/>
      </w:pPr>
      <w:r>
        <w:t>Timeline</w:t>
      </w:r>
    </w:p>
    <w:p>
      <w:r>
        <w:t>Risk acceptance must be documented and revalidated each quarter. The Product organization uses Kafka to enforce consistent service baselines. This document aligns with SOX requirements and supports EU data residency expectations.</w:t>
      </w:r>
    </w:p>
    <w:p>
      <w:r>
        <w:t>All incidents are tagged with severity and mapped to service tiers. All incidents are tagged with severity and mapped to service tiers.</w:t>
      </w:r>
    </w:p>
    <w:p>
      <w:pPr>
        <w:pStyle w:val="ListBullet"/>
      </w:pPr>
      <w:r>
        <w:t>The Product team coordinates with Finance Analyst to maintain operational readiness.</w:t>
      </w:r>
    </w:p>
    <w:p>
      <w:pPr>
        <w:pStyle w:val="ListBullet"/>
      </w:pPr>
      <w:r>
        <w:t>Stakeholders include the Finance Analyst, service owner, and compliance lead for approvals.</w:t>
      </w:r>
    </w:p>
    <w:p>
      <w:pPr>
        <w:pStyle w:val="ListBullet"/>
      </w:pPr>
      <w:r>
        <w:t>Teams must log requests in SAP and track outcomes in Document Repository for audit readiness.</w:t>
      </w:r>
    </w:p>
    <w:p>
      <w:pPr>
        <w:pStyle w:val="ListBullet"/>
      </w:pPr>
      <w:r>
        <w:t>We prioritize customer impact, data integrity, and regulatory alignment.</w:t>
      </w:r>
    </w:p>
    <w:p>
      <w:pPr>
        <w:pStyle w:val="ListBullet"/>
      </w:pPr>
      <w:r>
        <w:t>Regional teams in EU follow the same policy with localized legal review.</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Security</w:t>
            </w:r>
          </w:p>
        </w:tc>
        <w:tc>
          <w:tcPr>
            <w:tcW w:type="dxa" w:w="2880"/>
          </w:tcPr>
          <w:p>
            <w:r>
              <w:t>Blocked</w:t>
            </w:r>
          </w:p>
        </w:tc>
      </w:tr>
      <w:tr>
        <w:tc>
          <w:tcPr>
            <w:tcW w:type="dxa" w:w="2880"/>
          </w:tcPr>
          <w:p>
            <w:r>
              <w:t>Vendor check</w:t>
            </w:r>
          </w:p>
        </w:tc>
        <w:tc>
          <w:tcPr>
            <w:tcW w:type="dxa" w:w="2880"/>
          </w:tcPr>
          <w:p>
            <w:r>
              <w:t>Security</w:t>
            </w:r>
          </w:p>
        </w:tc>
        <w:tc>
          <w:tcPr>
            <w:tcW w:type="dxa" w:w="2880"/>
          </w:tcPr>
          <w:p>
            <w:r>
              <w:t>In Progress</w:t>
            </w:r>
          </w:p>
        </w:tc>
      </w:tr>
      <w:tr>
        <w:tc>
          <w:tcPr>
            <w:tcW w:type="dxa" w:w="2880"/>
          </w:tcPr>
          <w:p>
            <w:r>
              <w:t>Backup validation</w:t>
            </w:r>
          </w:p>
        </w:tc>
        <w:tc>
          <w:tcPr>
            <w:tcW w:type="dxa" w:w="2880"/>
          </w:tcPr>
          <w:p>
            <w:r>
              <w:t>Operations</w:t>
            </w:r>
          </w:p>
        </w:tc>
        <w:tc>
          <w:tcPr>
            <w:tcW w:type="dxa" w:w="2880"/>
          </w:tcPr>
          <w:p>
            <w:r>
              <w:t>In Progress</w:t>
            </w:r>
          </w:p>
        </w:tc>
      </w:tr>
    </w:tbl>
    <w:p>
      <w:pPr>
        <w:pStyle w:val="Heading1"/>
      </w:pPr>
      <w:r>
        <w:t>Impact Analysis</w:t>
      </w:r>
    </w:p>
    <w:p>
      <w:r>
        <w:t>The process integrates with Document Repository and depends on Kafka for telemetry signals. Evidence artifacts are retained in SAP for at least 18 months.</w:t>
      </w:r>
    </w:p>
    <w:p>
      <w:r>
        <w:t>The Product organization uses Kafka to enforce consistent service baselines. Stakeholders include the Finance Analyst, service owner, and compliance lead for approvals. Systems are monitored via Kafka and alert routing in SAP.</w:t>
      </w:r>
    </w:p>
    <w:p>
      <w:pPr>
        <w:pStyle w:val="ListBullet"/>
      </w:pPr>
      <w:r>
        <w:t>The process integrates with Document Repository and depends on Kafka for telemetry signals.</w:t>
      </w:r>
    </w:p>
    <w:p>
      <w:pPr>
        <w:pStyle w:val="ListBullet"/>
      </w:pPr>
      <w:r>
        <w:t>Risk acceptance must be documented and revalidated each quarter.</w:t>
      </w:r>
    </w:p>
    <w:p>
      <w:pPr>
        <w:pStyle w:val="ListBullet"/>
      </w:pPr>
      <w:r>
        <w:t>This document aligns with SOX requirements and supports EU data residency expectations.</w:t>
      </w:r>
    </w:p>
    <w:p>
      <w:pPr>
        <w:pStyle w:val="ListBullet"/>
      </w:pPr>
      <w:r>
        <w:t>Stakeholders include the Finance Analyst, service owner, and compliance lead for approvals.</w:t>
      </w:r>
    </w:p>
    <w:p>
      <w:pPr>
        <w:pStyle w:val="ListBullet"/>
      </w:pPr>
      <w:r>
        <w:t>All incidents are tagged with severity and mapped to service tiers.</w:t>
      </w:r>
    </w:p>
    <w:p>
      <w:pPr>
        <w:pStyle w:val="ListBullet"/>
      </w:pPr>
      <w:r>
        <w:t>The Product organization uses Kafka to enforce consistent service baselines.</w:t>
      </w:r>
    </w:p>
    <w:p>
      <w:pPr>
        <w:pStyle w:val="Heading1"/>
      </w:pPr>
      <w:r>
        <w:t>Root Cause</w:t>
      </w:r>
    </w:p>
    <w:p>
      <w:r>
        <w:t>Regional teams in EU follow the same policy with localized legal review. This document aligns with SOX requirements and supports EU data residency expectations.</w:t>
      </w:r>
    </w:p>
    <w:p>
      <w:r>
        <w:t>All changes require peer review and validation in the Document Repository before production promotion. Evidence artifacts are retained in SAP for at least 18 months. The Product team coordinates with Finance Analyst to maintain operational readiness. The Product team coordinates with Finance Analyst to maintain operational readiness.</w:t>
      </w:r>
    </w:p>
    <w:p>
      <w:pPr>
        <w:pStyle w:val="ListBullet"/>
      </w:pPr>
      <w:r>
        <w:t>All changes require peer review and validation in the Document Repository before production promotion.</w:t>
      </w:r>
    </w:p>
    <w:p>
      <w:pPr>
        <w:pStyle w:val="ListBullet"/>
      </w:pPr>
      <w:r>
        <w:t>All incidents are tagged with severity and mapped to service tiers.</w:t>
      </w:r>
    </w:p>
    <w:p>
      <w:pPr>
        <w:pStyle w:val="ListBullet"/>
      </w:pPr>
      <w:r>
        <w:t>Evidence artifacts are retained in SAP for at least 18 months.</w:t>
      </w:r>
    </w:p>
    <w:p>
      <w:pPr>
        <w:pStyle w:val="ListBullet"/>
      </w:pPr>
      <w:r>
        <w:t>Audit sampling occurs monthly and is summarized in leadership dashboards.</w:t>
      </w:r>
    </w:p>
    <w:p>
      <w:pPr>
        <w:pStyle w:val="ListBullet"/>
      </w:pPr>
      <w:r>
        <w:t>Risk acceptance must be documented and revalidated each quarter.</w:t>
      </w:r>
    </w:p>
    <w:p>
      <w:pPr>
        <w:pStyle w:val="ListBullet"/>
      </w:pPr>
      <w:r>
        <w:t>This document aligns with SOX requirements and supports EU data residency expectations.</w:t>
      </w:r>
    </w:p>
    <w:p>
      <w:pPr>
        <w:pStyle w:val="Heading1"/>
      </w:pPr>
      <w:r>
        <w:t>Follow-Up Actions</w:t>
      </w:r>
    </w:p>
    <w:p>
      <w:r>
        <w:t>Teams must log requests in SAP and track outcomes in Document Repository for audit readiness. Risk acceptance must be documented and revalidated each quarter.</w:t>
      </w:r>
    </w:p>
    <w:p>
      <w:r>
        <w:t>The Product organization uses Kafka to enforce consistent service baselines. The Product organization uses Kafka to enforce consistent service baselines. Stakeholders include the Finance Analyst, service owner, and compliance lead for approvals.</w:t>
      </w:r>
    </w:p>
    <w:p>
      <w:pPr>
        <w:pStyle w:val="ListBullet"/>
      </w:pPr>
      <w:r>
        <w:t>This document aligns with SOX requirements and supports EU data residency expectations.</w:t>
      </w:r>
    </w:p>
    <w:p>
      <w:pPr>
        <w:pStyle w:val="ListBullet"/>
      </w:pPr>
      <w:r>
        <w:t>We prioritize customer impact, data integrity, and regulatory alignment.</w:t>
      </w:r>
    </w:p>
    <w:p>
      <w:pPr>
        <w:pStyle w:val="ListBullet"/>
      </w:pPr>
      <w:r>
        <w:t>Risk acceptance must be documented and revalidated each quarter.</w:t>
      </w:r>
    </w:p>
    <w:p>
      <w:pPr>
        <w:pStyle w:val="ListBullet"/>
      </w:pPr>
      <w:r>
        <w:t>This document aligns with SOX requirements and supports EU data residency expectations.</w:t>
      </w:r>
    </w:p>
    <w:p>
      <w:pPr>
        <w:pStyle w:val="ListBullet"/>
      </w:pPr>
      <w:r>
        <w:t>Evidence artifacts are retained in SAP for at least 18 months.</w:t>
      </w:r>
    </w:p>
    <w:p>
      <w:pPr>
        <w:pStyle w:val="ListBullet"/>
      </w:pPr>
      <w:r>
        <w:t>Evidence artifacts are retained in SAP for at least 18 months.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Product</w:t>
            </w:r>
          </w:p>
        </w:tc>
        <w:tc>
          <w:tcPr>
            <w:tcW w:type="dxa" w:w="2880"/>
          </w:tcPr>
          <w:p>
            <w:r>
              <w:t>In Progress</w:t>
            </w:r>
          </w:p>
        </w:tc>
      </w:tr>
      <w:tr>
        <w:tc>
          <w:tcPr>
            <w:tcW w:type="dxa" w:w="2880"/>
          </w:tcPr>
          <w:p>
            <w:r>
              <w:t>Vendor check</w:t>
            </w:r>
          </w:p>
        </w:tc>
        <w:tc>
          <w:tcPr>
            <w:tcW w:type="dxa" w:w="2880"/>
          </w:tcPr>
          <w:p>
            <w:r>
              <w:t>Finance Analyst</w:t>
            </w:r>
          </w:p>
        </w:tc>
        <w:tc>
          <w:tcPr>
            <w:tcW w:type="dxa" w:w="2880"/>
          </w:tcPr>
          <w:p>
            <w:r>
              <w:t>In Progress</w:t>
            </w:r>
          </w:p>
        </w:tc>
      </w:tr>
      <w:tr>
        <w:tc>
          <w:tcPr>
            <w:tcW w:type="dxa" w:w="2880"/>
          </w:tcPr>
          <w:p>
            <w:r>
              <w:t>Incident drill</w:t>
            </w:r>
          </w:p>
        </w:tc>
        <w:tc>
          <w:tcPr>
            <w:tcW w:type="dxa" w:w="2880"/>
          </w:tcPr>
          <w:p>
            <w:r>
              <w:t>Finance Analyst</w:t>
            </w:r>
          </w:p>
        </w:tc>
        <w:tc>
          <w:tcPr>
            <w:tcW w:type="dxa" w:w="2880"/>
          </w:tcPr>
          <w:p>
            <w:r>
              <w:t>Blocked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