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Product EU v1.1</w:t>
      </w:r>
    </w:p>
    <w:p>
      <w:r>
        <w:t>Department: Product</w:t>
      </w:r>
    </w:p>
    <w:p>
      <w:r>
        <w:t>Author: Morgan Smith</w:t>
      </w:r>
    </w:p>
    <w:p>
      <w:r>
        <w:t>Created date: 2024-12-23</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Teams must log requests in Slack and track outcomes in Endpoint Management for audit readiness. Teams must log requests in Slack and track outcomes in Endpoint Management for audit readiness. We prioritize customer impact, data integrity, and regulatory alignment. The Product organization uses Redis to enforce consistent service baselines.</w:t>
      </w:r>
    </w:p>
    <w:p>
      <w:pPr>
        <w:pStyle w:val="ListBullet"/>
      </w:pPr>
      <w:r>
        <w:t>The Product organization uses Redis to enforce consistent service baselines.</w:t>
      </w:r>
    </w:p>
    <w:p>
      <w:pPr>
        <w:pStyle w:val="ListBullet"/>
      </w:pPr>
      <w:r>
        <w:t>Regional teams in EU follow the same policy with localized legal review.</w:t>
      </w:r>
    </w:p>
    <w:p>
      <w:pPr>
        <w:pStyle w:val="ListBullet"/>
      </w:pPr>
      <w:r>
        <w:t>Evidence artifacts are retained in Slack for at least 18 months.</w:t>
      </w:r>
    </w:p>
    <w:p>
      <w:pPr>
        <w:pStyle w:val="ListBullet"/>
      </w:pPr>
      <w:r>
        <w:t>The Product organization uses Redis to enforce consistent service baselines.</w:t>
      </w:r>
    </w:p>
    <w:p>
      <w:pPr>
        <w:pStyle w:val="ListBullet"/>
      </w:pPr>
      <w:r>
        <w:t>Evidence artifacts are retained in Slack for at least 18 months.</w:t>
      </w:r>
    </w:p>
    <w:p>
      <w:pPr>
        <w:pStyle w:val="ListBullet"/>
      </w:pPr>
      <w:r>
        <w:t>Audit sampling occurs monthly and is summarized in leadership dashboards.</w:t>
      </w:r>
    </w:p>
    <w:p>
      <w:pPr>
        <w:pStyle w:val="Heading1"/>
      </w:pPr>
      <w:r>
        <w:t>Timeline</w:t>
      </w:r>
    </w:p>
    <w:p>
      <w:r>
        <w:t>Regional teams in EU follow the same policy with localized legal review. All incidents are tagged with severity and mapped to service tiers. Evidence artifacts are retained in Slack for at least 18 months.</w:t>
      </w:r>
    </w:p>
    <w:p>
      <w:r>
        <w:t>This document aligns with SOX requirements and supports EU data residency expectations. The Product organization uses Redis to enforce consistent service baselines. Escalations should follow the on-call rotation with a response target of 30 minutes. We prioritize customer impact, data integrity, and regulatory alignment.</w:t>
      </w:r>
    </w:p>
    <w:p>
      <w:pPr>
        <w:pStyle w:val="ListBullet"/>
      </w:pPr>
      <w:r>
        <w:t>Systems are monitored via Redis and alert routing in Slack.</w:t>
      </w:r>
    </w:p>
    <w:p>
      <w:pPr>
        <w:pStyle w:val="ListBullet"/>
      </w:pPr>
      <w:r>
        <w:t>The Product organization uses Redis to enforce consistent service baselines.</w:t>
      </w:r>
    </w:p>
    <w:p>
      <w:pPr>
        <w:pStyle w:val="ListBullet"/>
      </w:pPr>
      <w:r>
        <w:t>The Product team coordinates with Systems Engineer to maintain operational readiness.</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Systems Engineer</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Access review</w:t>
            </w:r>
          </w:p>
        </w:tc>
        <w:tc>
          <w:tcPr>
            <w:tcW w:type="dxa" w:w="2880"/>
          </w:tcPr>
          <w:p>
            <w:r>
              <w:t>Systems Engineer</w:t>
            </w:r>
          </w:p>
        </w:tc>
        <w:tc>
          <w:tcPr>
            <w:tcW w:type="dxa" w:w="2880"/>
          </w:tcPr>
          <w:p>
            <w:r>
              <w:t>Blocked</w:t>
            </w:r>
          </w:p>
        </w:tc>
      </w:tr>
    </w:tbl>
    <w:p>
      <w:pPr>
        <w:pStyle w:val="Heading1"/>
      </w:pPr>
      <w:r>
        <w:t>Impact Analysis</w:t>
      </w:r>
    </w:p>
    <w:p>
      <w:r>
        <w:t>The process integrates with Endpoint Management and depends on Redis for telemetry signals. All incidents are tagged with severity and mapped to service tiers.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Escalations should follow the on-call rotation with a response target of 30 minutes.</w:t>
      </w:r>
    </w:p>
    <w:p>
      <w:pPr>
        <w:pStyle w:val="ListBullet"/>
      </w:pPr>
      <w:r>
        <w:t>Systems are monitored via Redis and alert routing in Slack.</w:t>
      </w:r>
    </w:p>
    <w:p>
      <w:pPr>
        <w:pStyle w:val="Heading1"/>
      </w:pPr>
      <w:r>
        <w:t>Root Cause</w:t>
      </w:r>
    </w:p>
    <w:p>
      <w:r>
        <w:t>The process integrates with Endpoint Management and depends on Redis for telemetry signals. Evidence artifacts are retained in Slack for at least 18 months.</w:t>
      </w:r>
    </w:p>
    <w:p>
      <w:r>
        <w:t>Audit sampling occurs monthly and is summarized in leadership dashboards. Teams must log requests in Slack and track outcomes in Endpoint Management for audit readiness. This document aligns with SOX requirements and supports EU data residency expectations.</w:t>
      </w:r>
    </w:p>
    <w:p>
      <w:pPr>
        <w:pStyle w:val="ListBullet"/>
      </w:pPr>
      <w:r>
        <w:t>Regional teams in EU follow the same policy with localized legal review.</w:t>
      </w:r>
    </w:p>
    <w:p>
      <w:pPr>
        <w:pStyle w:val="ListBullet"/>
      </w:pPr>
      <w:r>
        <w:t>Teams must log requests in Slack and track outcomes in Endpoint Management for audit readiness.</w:t>
      </w:r>
    </w:p>
    <w:p>
      <w:pPr>
        <w:pStyle w:val="ListBullet"/>
      </w:pPr>
      <w:r>
        <w:t>Stakeholders include the Systems Engineer, service owner, and compliance lead for approvals.</w:t>
      </w:r>
    </w:p>
    <w:p>
      <w:pPr>
        <w:pStyle w:val="ListBullet"/>
      </w:pPr>
      <w:r>
        <w:t>Evidence artifacts are retained in Slack for at least 18 months.</w:t>
      </w:r>
    </w:p>
    <w:p>
      <w:pPr>
        <w:pStyle w:val="ListBullet"/>
      </w:pPr>
      <w:r>
        <w:t>Evidence artifacts are retained in Slack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Product</w:t>
            </w:r>
          </w:p>
        </w:tc>
        <w:tc>
          <w:tcPr>
            <w:tcW w:type="dxa" w:w="2880"/>
          </w:tcPr>
          <w:p>
            <w:r>
              <w:t>In Progress</w:t>
            </w:r>
          </w:p>
        </w:tc>
      </w:tr>
      <w:tr>
        <w:tc>
          <w:tcPr>
            <w:tcW w:type="dxa" w:w="2880"/>
          </w:tcPr>
          <w:p>
            <w:r>
              <w:t>Incident drill</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bl>
    <w:p>
      <w:pPr>
        <w:pStyle w:val="Heading1"/>
      </w:pPr>
      <w:r>
        <w:t>Follow-Up Actions</w:t>
      </w:r>
    </w:p>
    <w:p>
      <w:r>
        <w:t>All changes require peer review and validation in the Endpoint Management before production promotion. Teams must log requests in Slack and track outcomes in Endpoint Management for audit readiness. All changes require peer review and validation in the Endpoint Management before production promotion. All incidents are tagged with severity and mapped to service tiers.</w:t>
      </w:r>
    </w:p>
    <w:p>
      <w:r>
        <w:t>Escalations should follow the on-call rotation with a response target of 30 minutes. We prioritize customer impact, data integrity, and regulatory alignment. The process integrates with Endpoint Management and depends on Redis for telemetry signals.</w:t>
      </w:r>
    </w:p>
    <w:p>
      <w:pPr>
        <w:pStyle w:val="ListBullet"/>
      </w:pPr>
      <w:r>
        <w:t>Systems are monitored via Redis and alert routing in Slack.</w:t>
      </w:r>
    </w:p>
    <w:p>
      <w:pPr>
        <w:pStyle w:val="ListBullet"/>
      </w:pPr>
      <w:r>
        <w:t>Evidence artifacts are retained in Slack for at least 18 months.</w:t>
      </w:r>
    </w:p>
    <w:p>
      <w:pPr>
        <w:pStyle w:val="ListBullet"/>
      </w:pPr>
      <w:r>
        <w:t>Teams must log requests in Slack and track outcomes in Endpoint Management for audit readiness.</w:t>
      </w:r>
    </w:p>
    <w:p>
      <w:pPr>
        <w:pStyle w:val="ListBullet"/>
      </w:pPr>
      <w:r>
        <w:t>The Product organization uses Redis to enforce consistent service baselines.</w:t>
      </w:r>
    </w:p>
    <w:p>
      <w:pPr>
        <w:pStyle w:val="ListBullet"/>
      </w:pPr>
      <w:r>
        <w:t>All incidents are tagged with severity and mapped to service tiers.</w:t>
      </w:r>
    </w:p>
    <w:p>
      <w:pPr>
        <w:pStyle w:val="ListBullet"/>
      </w:pPr>
      <w:r>
        <w:t>Stakeholders include the Systems Engineer,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