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Security APAC v1.1</w:t>
      </w:r>
    </w:p>
    <w:p>
      <w:r>
        <w:t>Department: Security</w:t>
      </w:r>
    </w:p>
    <w:p>
      <w:r>
        <w:t>Author: Taylor Garcia</w:t>
      </w:r>
    </w:p>
    <w:p>
      <w:r>
        <w:t>Created date: 2024-10-14</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All changes require peer review and validation in the CI/CD Pipeline before production promotion. Systems are monitored via Vault and alert routing in SAP.</w:t>
      </w:r>
    </w:p>
    <w:p>
      <w:pPr>
        <w:pStyle w:val="ListBullet"/>
      </w:pPr>
      <w:r>
        <w:t>The process integrates with CI/CD Pipeline and depends on Vault for telemetry signals.</w:t>
      </w:r>
    </w:p>
    <w:p>
      <w:pPr>
        <w:pStyle w:val="ListBullet"/>
      </w:pPr>
      <w:r>
        <w:t>The Security organization uses Vault to enforce consistent service baselines.</w:t>
      </w:r>
    </w:p>
    <w:p>
      <w:pPr>
        <w:pStyle w:val="ListBullet"/>
      </w:pPr>
      <w:r>
        <w:t>Evidence artifacts are retained in SAP for at least 18 months.</w:t>
      </w:r>
    </w:p>
    <w:p>
      <w:pPr>
        <w:pStyle w:val="Heading1"/>
      </w:pPr>
      <w:r>
        <w:t>Timeline</w:t>
      </w:r>
    </w:p>
    <w:p>
      <w:r>
        <w:t>Escalations should follow the on-call rotation with a response target of 45 minutes. Systems are monitored via Vault and alert routing in SAP. Audit sampling occurs monthly and is summarized in leadership dashboards.</w:t>
      </w:r>
    </w:p>
    <w:p>
      <w:pPr>
        <w:pStyle w:val="ListBullet"/>
      </w:pPr>
      <w:r>
        <w:t>Evidence artifacts are retained in SAP for at least 18 months.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Stakeholders include the Finance Analyst, service owner, and compliance lead for approvals.</w:t>
      </w:r>
    </w:p>
    <w:p>
      <w:pPr>
        <w:pStyle w:val="Heading1"/>
      </w:pPr>
      <w:r>
        <w:t>Impact Analysis</w:t>
      </w:r>
    </w:p>
    <w:p>
      <w:r>
        <w:t>We prioritize customer impact, data integrity, and regulatory alignment. Systems are monitored via Vault and alert routing in SAP.</w:t>
      </w:r>
    </w:p>
    <w:p>
      <w:r>
        <w:t>Escalations should follow the on-call rotation with a response target of 45 minutes. Risk acceptance must be documented and revalidated each quarter. The Security team coordinates with Finance Analyst to maintain operational readiness.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Systems are monitored via Vault and alert routing in SAP.</w:t>
      </w:r>
    </w:p>
    <w:p>
      <w:pPr>
        <w:pStyle w:val="ListBullet"/>
      </w:pPr>
      <w:r>
        <w:t>The Security team coordinates with Finance Analyst to maintain operational readiness.</w:t>
      </w:r>
    </w:p>
    <w:p>
      <w:pPr>
        <w:pStyle w:val="ListBullet"/>
      </w:pPr>
      <w:r>
        <w:t>Regional teams in APAC follow the same policy with localized legal review.</w:t>
      </w:r>
    </w:p>
    <w:p>
      <w:pPr>
        <w:pStyle w:val="Heading1"/>
      </w:pPr>
      <w:r>
        <w:t>Root Cause</w:t>
      </w:r>
    </w:p>
    <w:p>
      <w:r>
        <w:t>Teams must log requests in SAP and track outcomes in CI/CD Pipeline for audit readiness. The Security team coordinates with Finance Analyst to maintain operational readiness.</w:t>
      </w:r>
    </w:p>
    <w:p>
      <w:r>
        <w:t>The process integrates with CI/CD Pipeline and depends on Vault for telemetry signals. Regional teams in APAC follow the same policy with localized legal review.</w:t>
      </w:r>
    </w:p>
    <w:p>
      <w:pPr>
        <w:pStyle w:val="ListBullet"/>
      </w:pPr>
      <w:r>
        <w:t>This document aligns with HIPAA requirements and supports APAC data residency expectations.</w:t>
      </w:r>
    </w:p>
    <w:p>
      <w:pPr>
        <w:pStyle w:val="ListBullet"/>
      </w:pPr>
      <w:r>
        <w:t>Risk acceptance must be documented and revalidated each quarter.</w:t>
      </w:r>
    </w:p>
    <w:p>
      <w:pPr>
        <w:pStyle w:val="ListBullet"/>
      </w:pPr>
      <w:r>
        <w:t>Systems are monitored via Vault and alert routing in SAP.</w:t>
      </w:r>
    </w:p>
    <w:p>
      <w:pPr>
        <w:pStyle w:val="ListBullet"/>
      </w:pPr>
      <w:r>
        <w:t>All incidents are tagged with severity and mapped to service tiers.</w:t>
      </w:r>
    </w:p>
    <w:p>
      <w:pPr>
        <w:pStyle w:val="Heading1"/>
      </w:pPr>
      <w:r>
        <w:t>Follow-Up Actions</w:t>
      </w:r>
    </w:p>
    <w:p>
      <w:r>
        <w:t>All incidents are tagged with severity and mapped to service tiers. This document aligns with HIPAA requirements and supports APAC data residency expectations. All incidents are tagged with severity and mapped to service tiers. All changes require peer review and validation in the CI/CD Pipeline before production promotion.</w:t>
      </w:r>
    </w:p>
    <w:p>
      <w:pPr>
        <w:pStyle w:val="ListBullet"/>
      </w:pPr>
      <w:r>
        <w:t>Teams must log requests in SAP and track outcomes in CI/CD Pipeline for audit readiness.</w:t>
      </w:r>
    </w:p>
    <w:p>
      <w:pPr>
        <w:pStyle w:val="ListBullet"/>
      </w:pPr>
      <w:r>
        <w:t>The Security team coordinates with Finance Analyst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Patch window</w:t>
            </w:r>
          </w:p>
        </w:tc>
        <w:tc>
          <w:tcPr>
            <w:tcW w:type="dxa" w:w="2880"/>
          </w:tcPr>
          <w:p>
            <w:r>
              <w:t>Security</w:t>
            </w:r>
          </w:p>
        </w:tc>
        <w:tc>
          <w:tcPr>
            <w:tcW w:type="dxa" w:w="2880"/>
          </w:tcPr>
          <w:p>
            <w:r>
              <w:t>Planned</w:t>
            </w:r>
          </w:p>
        </w:tc>
      </w:tr>
      <w:tr>
        <w:tc>
          <w:tcPr>
            <w:tcW w:type="dxa" w:w="2880"/>
          </w:tcPr>
          <w:p>
            <w:r>
              <w:t>Vendor check</w:t>
            </w:r>
          </w:p>
        </w:tc>
        <w:tc>
          <w:tcPr>
            <w:tcW w:type="dxa" w:w="2880"/>
          </w:tcPr>
          <w:p>
            <w:r>
              <w:t>Finance Analyst</w:t>
            </w:r>
          </w:p>
        </w:tc>
        <w:tc>
          <w:tcPr>
            <w:tcW w:type="dxa" w:w="2880"/>
          </w:tcPr>
          <w:p>
            <w:r>
              <w:t>In Progress</w:t>
            </w:r>
          </w:p>
        </w:tc>
      </w:tr>
    </w:tbl>
    <w:p>
      <w:pPr>
        <w:pStyle w:val="Heading1"/>
      </w:pPr>
      <w:r>
        <w:t>Additional Notes</w:t>
      </w:r>
    </w:p>
    <w:p>
      <w:r>
        <w:t>All incidents are tagged with severity and mapped to service tiers. Audit sampling occurs monthly and is summarized in leadership dashboards. The process integrates with CI/CD Pipeline and depends on Vault for telemetry signals.</w:t>
      </w:r>
    </w:p>
    <w:p>
      <w:pPr>
        <w:pStyle w:val="ListBullet"/>
      </w:pPr>
      <w:r>
        <w:t>The Security team coordinates with Finance Analyst to maintain operational readiness.</w:t>
      </w:r>
    </w:p>
    <w:p>
      <w:pPr>
        <w:pStyle w:val="ListBullet"/>
      </w:pPr>
      <w:r>
        <w:t>Systems are monitored via Vault and alert routing in SAP.</w:t>
      </w:r>
    </w:p>
    <w:p>
      <w:pPr>
        <w:pStyle w:val="ListBullet"/>
      </w:pPr>
      <w:r>
        <w:t>Stakeholders include the Finance Analyst, service owner, and compliance lead for approvals.</w:t>
      </w:r>
    </w:p>
    <w:p>
      <w:pPr>
        <w:pStyle w:val="ListBullet"/>
      </w:pPr>
      <w:r>
        <w:t>All incidents are tagged with severity and mapped to service tiers.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