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Reports - Security EU v3.0</w:t>
      </w:r>
    </w:p>
    <w:p>
      <w:r>
        <w:t>Department: Security</w:t>
      </w:r>
    </w:p>
    <w:p>
      <w:r>
        <w:t>Author: Jordan Patel</w:t>
      </w:r>
    </w:p>
    <w:p>
      <w:r>
        <w:t>Created date: 2025-06-22</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Incident Summary</w:t>
      </w:r>
    </w:p>
    <w:p>
      <w:r>
        <w:t>Escalations should follow the on-call rotation with a response target of 60 minutes. Escalations should follow the on-call rotation with a response target of 60 minutes. This document aligns with SOC 2 requirements and supports EU data residency expectations. Risk acceptance must be documented and revalidated each quarter.</w:t>
      </w:r>
    </w:p>
    <w:p>
      <w:pPr>
        <w:pStyle w:val="ListBullet"/>
      </w:pPr>
      <w:r>
        <w:t>All incidents are tagged with severity and mapped to service tiers.</w:t>
      </w:r>
    </w:p>
    <w:p>
      <w:pPr>
        <w:pStyle w:val="ListBullet"/>
      </w:pPr>
      <w:r>
        <w:t>Evidence artifacts are retained in Workday for at least 36 months.</w:t>
      </w:r>
    </w:p>
    <w:p>
      <w:pPr>
        <w:pStyle w:val="ListBullet"/>
      </w:pPr>
      <w:r>
        <w:t>This document aligns with SOC 2 requirements and supports EU data residency expectations.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Heading1"/>
      </w:pPr>
      <w:r>
        <w:t>Timeline</w:t>
      </w:r>
    </w:p>
    <w:p>
      <w:r>
        <w:t>Teams must log requests in Workday and track outcomes in Payment Processing Service for audit readiness. The process integrates with Payment Processing Service and depends on Azure AD for telemetry signals.</w:t>
      </w:r>
    </w:p>
    <w:p>
      <w:pPr>
        <w:pStyle w:val="ListBullet"/>
      </w:pPr>
      <w:r>
        <w:t>The process integrates with Payment Processing Service and depends on Azure AD for telemetry signals.</w:t>
      </w:r>
    </w:p>
    <w:p>
      <w:pPr>
        <w:pStyle w:val="ListBullet"/>
      </w:pPr>
      <w:r>
        <w:t>This document aligns with SOC 2 requirements and supports EU data residency expectations.</w:t>
      </w:r>
    </w:p>
    <w:p>
      <w:pPr>
        <w:pStyle w:val="ListBullet"/>
      </w:pPr>
      <w:r>
        <w:t>Escalations should follow the on-call rotation with a response target of 60 minutes.</w:t>
      </w:r>
    </w:p>
    <w:p>
      <w:pPr>
        <w:pStyle w:val="ListBullet"/>
      </w:pPr>
      <w:r>
        <w:t>Systems are monitored via Azure AD and alert routing in Workday.</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Complete</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Security</w:t>
            </w:r>
          </w:p>
        </w:tc>
        <w:tc>
          <w:tcPr>
            <w:tcW w:type="dxa" w:w="2880"/>
          </w:tcPr>
          <w:p>
            <w:r>
              <w:t>Planned</w:t>
            </w:r>
          </w:p>
        </w:tc>
      </w:tr>
      <w:tr>
        <w:tc>
          <w:tcPr>
            <w:tcW w:type="dxa" w:w="2880"/>
          </w:tcPr>
          <w:p>
            <w:r>
              <w:t>Vendor check</w:t>
            </w:r>
          </w:p>
        </w:tc>
        <w:tc>
          <w:tcPr>
            <w:tcW w:type="dxa" w:w="2880"/>
          </w:tcPr>
          <w:p>
            <w:r>
              <w:t>Operations</w:t>
            </w:r>
          </w:p>
        </w:tc>
        <w:tc>
          <w:tcPr>
            <w:tcW w:type="dxa" w:w="2880"/>
          </w:tcPr>
          <w:p>
            <w:r>
              <w:t>Blocked</w:t>
            </w:r>
          </w:p>
        </w:tc>
      </w:tr>
    </w:tbl>
    <w:p>
      <w:pPr>
        <w:pStyle w:val="Heading1"/>
      </w:pPr>
      <w:r>
        <w:t>Impact Analysis</w:t>
      </w:r>
    </w:p>
    <w:p>
      <w:r>
        <w:t>The process integrates with Payment Processing Service and depends on Azure AD for telemetry signals. Risk acceptance must be documented and revalidated each quarter. Systems are monitored via Azure AD and alert routing in Workday.</w:t>
      </w:r>
    </w:p>
    <w:p>
      <w:pPr>
        <w:pStyle w:val="ListBullet"/>
      </w:pPr>
      <w:r>
        <w:t>The Security team coordinates with Security Analyst to maintain operational readiness.</w:t>
      </w:r>
    </w:p>
    <w:p>
      <w:pPr>
        <w:pStyle w:val="ListBullet"/>
      </w:pPr>
      <w:r>
        <w:t>Evidence artifacts are retained in Workday for at least 36 months.</w:t>
      </w:r>
    </w:p>
    <w:p>
      <w:pPr>
        <w:pStyle w:val="ListBullet"/>
      </w:pPr>
      <w:r>
        <w:t>Evidence artifacts are retained in Workday for at least 36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bl>
    <w:p>
      <w:pPr>
        <w:pStyle w:val="Heading1"/>
      </w:pPr>
      <w:r>
        <w:t>Root Cause</w:t>
      </w:r>
    </w:p>
    <w:p>
      <w:r>
        <w:t>Escalations should follow the on-call rotation with a response target of 60 minutes. The process integrates with Payment Processing Service and depends on Azure AD for telemetry signals.</w:t>
      </w:r>
    </w:p>
    <w:p>
      <w:pPr>
        <w:pStyle w:val="ListBullet"/>
      </w:pPr>
      <w:r>
        <w:t>Teams must log requests in Workday and track outcomes in Payment Processing Service for audit readiness.</w:t>
      </w:r>
    </w:p>
    <w:p>
      <w:pPr>
        <w:pStyle w:val="ListBullet"/>
      </w:pPr>
      <w:r>
        <w:t>Stakeholders include the Security Analyst, service owner, and compliance lead for approvals.</w:t>
      </w:r>
    </w:p>
    <w:p>
      <w:pPr>
        <w:pStyle w:val="ListBullet"/>
      </w:pPr>
      <w:r>
        <w:t>All changes require peer review and validation in the Payment Processing Service before production promotion.</w:t>
      </w:r>
    </w:p>
    <w:p>
      <w:pPr>
        <w:pStyle w:val="ListBullet"/>
      </w:pPr>
      <w:r>
        <w:t>Teams must log requests in Workday and track outcomes in Payment Processing Service for audit readiness.</w:t>
      </w:r>
    </w:p>
    <w:p>
      <w:pPr>
        <w:pStyle w:val="ListBullet"/>
      </w:pPr>
      <w:r>
        <w:t>The Security organization uses Azure AD to enforce consistent service baselines.</w:t>
      </w:r>
    </w:p>
    <w:p>
      <w:pPr>
        <w:pStyle w:val="ListBullet"/>
      </w:pPr>
      <w:r>
        <w:t>The Security organization uses Azure AD to enforce consistent service baselines.</w:t>
      </w:r>
    </w:p>
    <w:p>
      <w:pPr>
        <w:pStyle w:val="Heading1"/>
      </w:pPr>
      <w:r>
        <w:t>Follow-Up Actions</w:t>
      </w:r>
    </w:p>
    <w:p>
      <w:r>
        <w:t>Stakeholders include the Security Analyst, service owner, and compliance lead for approvals. Risk acceptance must be documented and revalidated each quarter. Teams must log requests in Workday and track outcomes in Payment Processing Service for audit readiness. The Security team coordinates with Security Analyst to maintain operational readiness.</w:t>
      </w:r>
    </w:p>
    <w:p>
      <w:pPr>
        <w:pStyle w:val="ListBullet"/>
      </w:pPr>
      <w:r>
        <w:t>Escalations should follow the on-call rotation with a response target of 60 minutes.</w:t>
      </w:r>
    </w:p>
    <w:p>
      <w:pPr>
        <w:pStyle w:val="ListBullet"/>
      </w:pPr>
      <w:r>
        <w:t>All incidents are tagged with severity and mapped to service tiers.</w:t>
      </w:r>
    </w:p>
    <w:p>
      <w:pPr>
        <w:pStyle w:val="ListBullet"/>
      </w:pPr>
      <w:r>
        <w:t>The Security team coordinates with Security Analyst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