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Wiki Pages - Cloud Infrastructure EU v2.0</w:t>
      </w:r>
    </w:p>
    <w:p>
      <w:r>
        <w:t>Department: Cloud Infrastructure</w:t>
      </w:r>
    </w:p>
    <w:p>
      <w:r>
        <w:t>Author: Morgan Brown</w:t>
      </w:r>
    </w:p>
    <w:p>
      <w:r>
        <w:t>Created date: 2025-01-27</w:t>
      </w:r>
    </w:p>
    <w:p>
      <w:r>
        <w:t>Region: EU</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Context</w:t>
      </w:r>
    </w:p>
    <w:p>
      <w:r>
        <w:t>We prioritize customer impact, data integrity, and regulatory alignment. Stakeholders include the Procurement Lead, service owner, and compliance lead for approvals. This document aligns with HIPAA requirements and supports EU data residency expectations. All incidents are tagged with severity and mapped to service tiers.</w:t>
      </w:r>
    </w:p>
    <w:p>
      <w:r>
        <w:t>Teams must log requests in GitHub Enterprise and track outcomes in CI/CD Pipeline for audit readiness. Stakeholders include the Procurement Lead, service owner, and compliance lead for approvals. All incidents are tagged with severity and mapped to service tiers. The process integrates with CI/CD Pipeline and depends on ServiceNow for telemetry signals.</w:t>
      </w:r>
    </w:p>
    <w:p>
      <w:pPr>
        <w:pStyle w:val="ListBullet"/>
      </w:pPr>
      <w:r>
        <w:t>The Cloud Infrastructure team coordinates with Procurement Lead to maintain operational readiness.</w:t>
      </w:r>
    </w:p>
    <w:p>
      <w:pPr>
        <w:pStyle w:val="ListBullet"/>
      </w:pPr>
      <w:r>
        <w:t>Escalations should follow the on-call rotation with a response target of 45 minutes.</w:t>
      </w:r>
    </w:p>
    <w:p>
      <w:pPr>
        <w:pStyle w:val="ListBullet"/>
      </w:pPr>
      <w:r>
        <w:t>All changes require peer review and validation in the CI/CD Pipeline before production promotion.</w:t>
      </w:r>
    </w:p>
    <w:p>
      <w:pPr>
        <w:pStyle w:val="ListBullet"/>
      </w:pPr>
      <w:r>
        <w:t>Regional teams in EU follow the same policy with localized legal review.</w:t>
      </w:r>
    </w:p>
    <w:p>
      <w:pPr>
        <w:pStyle w:val="ListBullet"/>
      </w:pPr>
      <w:r>
        <w:t>Audit sampling occurs monthly and is summarized in leadership dashboards.</w:t>
      </w:r>
    </w:p>
    <w:p>
      <w:pPr>
        <w:pStyle w:val="Heading1"/>
      </w:pPr>
      <w:r>
        <w:t>How We Work</w:t>
      </w:r>
    </w:p>
    <w:p>
      <w:r>
        <w:t>Evidence artifacts are retained in GitHub Enterprise for at least 12 months. Evidence artifacts are retained in GitHub Enterprise for at least 12 months. Evidence artifacts are retained in GitHub Enterprise for at least 12 months.</w:t>
      </w:r>
    </w:p>
    <w:p>
      <w:r>
        <w:t>Teams must log requests in GitHub Enterprise and track outcomes in CI/CD Pipeline for audit readiness. Audit sampling occurs monthly and is summarized in leadership dashboards.</w:t>
      </w:r>
    </w:p>
    <w:p>
      <w:pPr>
        <w:pStyle w:val="ListBullet"/>
      </w:pPr>
      <w:r>
        <w:t>Teams must log requests in GitHub Enterprise and track outcomes in CI/CD Pipeline for audit readiness.</w:t>
      </w:r>
    </w:p>
    <w:p>
      <w:pPr>
        <w:pStyle w:val="ListBullet"/>
      </w:pPr>
      <w:r>
        <w:t>Audit sampling occurs monthly and is summarized in leadership dashboards.</w:t>
      </w:r>
    </w:p>
    <w:p>
      <w:pPr>
        <w:pStyle w:val="ListBullet"/>
      </w:pPr>
      <w:r>
        <w:t>Teams must log requests in GitHub Enterprise and track outcomes in CI/CD Pipeline for audit readiness.</w:t>
      </w:r>
    </w:p>
    <w:p>
      <w:pPr>
        <w:pStyle w:val="ListBullet"/>
      </w:pPr>
      <w:r>
        <w:t>Stakeholders include the Procurement Lead, service owner, and compliance lead for approvals.</w:t>
      </w:r>
    </w:p>
    <w:p>
      <w:pPr>
        <w:pStyle w:val="ListBullet"/>
      </w:pPr>
      <w:r>
        <w:t>Regional teams in EU follow the same policy with localized legal review.</w:t>
      </w:r>
    </w:p>
    <w:p>
      <w:pPr>
        <w:pStyle w:val="Heading1"/>
      </w:pPr>
      <w:r>
        <w:t>Key Contacts</w:t>
      </w:r>
    </w:p>
    <w:p>
      <w:r>
        <w:t>Evidence artifacts are retained in GitHub Enterprise for at least 12 months. The Cloud Infrastructure organization uses ServiceNow to enforce consistent service baselines. All incidents are tagged with severity and mapped to service tiers. The process integrates with CI/CD Pipeline and depends on ServiceNow for telemetry signals.</w:t>
      </w:r>
    </w:p>
    <w:p>
      <w:pPr>
        <w:pStyle w:val="ListBullet"/>
      </w:pPr>
      <w:r>
        <w:t>Stakeholders include the Procurement Lead, service owner, and compliance lead for approvals.</w:t>
      </w:r>
    </w:p>
    <w:p>
      <w:pPr>
        <w:pStyle w:val="ListBullet"/>
      </w:pPr>
      <w:r>
        <w:t>This document aligns with HIPAA requirements and supports EU data residency expectations.</w:t>
      </w:r>
    </w:p>
    <w:p>
      <w:pPr>
        <w:pStyle w:val="ListBullet"/>
      </w:pPr>
      <w:r>
        <w:t>Risk acceptance must be documented and revalidated each quarter.</w:t>
      </w:r>
    </w:p>
    <w:p>
      <w:pPr>
        <w:pStyle w:val="ListBullet"/>
      </w:pPr>
      <w:r>
        <w:t>Teams must log requests in GitHub Enterprise and track outcomes in CI/CD Pipeline for audit readiness.</w:t>
      </w:r>
    </w:p>
    <w:p>
      <w:pPr>
        <w:pStyle w:val="ListBullet"/>
      </w:pPr>
      <w:r>
        <w:t>Teams must log requests in GitHub Enterprise and track outcomes in CI/CD Pipeline for audit readiness.</w:t>
      </w:r>
    </w:p>
    <w:p>
      <w:pPr>
        <w:pStyle w:val="Heading1"/>
      </w:pPr>
      <w:r>
        <w:t>Reference Links</w:t>
      </w:r>
    </w:p>
    <w:p>
      <w:r>
        <w:t>Regional teams in EU follow the same policy with localized legal review. Evidence artifacts are retained in GitHub Enterprise for at least 12 months. Escalations should follow the on-call rotation with a response target of 45 minutes. Evidence artifacts are retained in GitHub Enterprise for at least 12 months.</w:t>
      </w:r>
    </w:p>
    <w:p>
      <w:r>
        <w:t>All changes require peer review and validation in the CI/CD Pipeline before production promotion. Escalations should follow the on-call rotation with a response target of 45 minutes.</w:t>
      </w:r>
    </w:p>
    <w:p>
      <w:pPr>
        <w:pStyle w:val="ListBullet"/>
      </w:pPr>
      <w:r>
        <w:t>The Cloud Infrastructure team coordinates with Procurement Lead to maintain operational readiness.</w:t>
      </w:r>
    </w:p>
    <w:p>
      <w:pPr>
        <w:pStyle w:val="ListBullet"/>
      </w:pPr>
      <w:r>
        <w:t>The process integrates with CI/CD Pipeline and depends on ServiceNow for telemetry signals.</w:t>
      </w:r>
    </w:p>
    <w:p>
      <w:pPr>
        <w:pStyle w:val="ListBullet"/>
      </w:pPr>
      <w:r>
        <w:t>Audit sampling occurs monthly and is summarized in leadership dashboards.</w:t>
      </w:r>
    </w:p>
    <w:p>
      <w:pPr>
        <w:pStyle w:val="ListBullet"/>
      </w:pPr>
      <w:r>
        <w:t>This document aligns with HIPAA requirements and supports EU data residency expectations.</w:t>
      </w:r>
    </w:p>
    <w:p>
      <w:pPr>
        <w:pStyle w:val="ListBullet"/>
      </w:pPr>
      <w:r>
        <w:t>Systems are monitored via ServiceNow and alert routing in GitHub Enterprise.</w:t>
      </w:r>
    </w:p>
    <w:p>
      <w:pPr>
        <w:pStyle w:val="ListBullet"/>
      </w:pPr>
      <w:r>
        <w:t>The process integrates with CI/CD Pipeline and depends on ServiceNow for telemetry signals.</w:t>
      </w:r>
    </w:p>
    <w:p>
      <w:pPr>
        <w:pStyle w:val="Heading1"/>
      </w:pPr>
      <w:r>
        <w:t>FAQ</w:t>
      </w:r>
    </w:p>
    <w:p>
      <w:r>
        <w:t>This document aligns with HIPAA requirements and supports EU data residency expectations. All incidents are tagged with severity and mapped to service tiers. Regional teams in EU follow the same policy with localized legal review.</w:t>
      </w:r>
    </w:p>
    <w:p>
      <w:r>
        <w:t>Systems are monitored via ServiceNow and alert routing in GitHub Enterprise. The process integrates with CI/CD Pipeline and depends on ServiceNow for telemetry signals.</w:t>
      </w:r>
    </w:p>
    <w:p>
      <w:pPr>
        <w:pStyle w:val="ListBullet"/>
      </w:pPr>
      <w:r>
        <w:t>The Cloud Infrastructure organization uses ServiceNow to enforce consistent service baselines.</w:t>
      </w:r>
    </w:p>
    <w:p>
      <w:pPr>
        <w:pStyle w:val="ListBullet"/>
      </w:pPr>
      <w:r>
        <w:t>Evidence artifacts are retained in GitHub Enterprise for at least 12 months.</w:t>
      </w:r>
    </w:p>
    <w:p>
      <w:pPr>
        <w:pStyle w:val="ListBullet"/>
      </w:pPr>
      <w:r>
        <w:t>All incidents are tagged with severity and mapped to service tiers.</w:t>
      </w:r>
    </w:p>
    <w:p>
      <w:pPr>
        <w:pStyle w:val="ListBullet"/>
      </w:pPr>
      <w:r>
        <w:t>Systems are monitored via ServiceNow and alert routing in GitHub Enterprise.</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Complete</w:t>
            </w:r>
          </w:p>
        </w:tc>
      </w:tr>
      <w:tr>
        <w:tc>
          <w:tcPr>
            <w:tcW w:type="dxa" w:w="2880"/>
          </w:tcPr>
          <w:p>
            <w:r>
              <w:t>Incident drill</w:t>
            </w:r>
          </w:p>
        </w:tc>
        <w:tc>
          <w:tcPr>
            <w:tcW w:type="dxa" w:w="2880"/>
          </w:tcPr>
          <w:p>
            <w:r>
              <w:t>Security</w:t>
            </w:r>
          </w:p>
        </w:tc>
        <w:tc>
          <w:tcPr>
            <w:tcW w:type="dxa" w:w="2880"/>
          </w:tcPr>
          <w:p>
            <w:r>
              <w:t>Complete</w:t>
            </w:r>
          </w:p>
        </w:tc>
      </w:tr>
      <w:tr>
        <w:tc>
          <w:tcPr>
            <w:tcW w:type="dxa" w:w="2880"/>
          </w:tcPr>
          <w:p>
            <w:r>
              <w:t>Patch window</w:t>
            </w:r>
          </w:p>
        </w:tc>
        <w:tc>
          <w:tcPr>
            <w:tcW w:type="dxa" w:w="2880"/>
          </w:tcPr>
          <w:p>
            <w:r>
              <w:t>Cloud Infrastructure</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