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Compliance EU v1.2</w:t>
      </w:r>
    </w:p>
    <w:p>
      <w:r>
        <w:t>Department: Compliance</w:t>
      </w:r>
    </w:p>
    <w:p>
      <w:r>
        <w:t>Author: Avery Kim</w:t>
      </w:r>
    </w:p>
    <w:p>
      <w:r>
        <w:t>Created date: 2025-03-20</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Risk acceptance must be documented and revalidated each quarter. Evidence artifacts are retained in Salesforce for at least 24 months.</w:t>
      </w:r>
    </w:p>
    <w:p>
      <w:r>
        <w:t>All incidents are tagged with severity and mapped to service tiers. Risk acceptance must be documented and revalidated each quarter.</w:t>
      </w:r>
    </w:p>
    <w:p>
      <w:pPr>
        <w:pStyle w:val="ListBullet"/>
      </w:pPr>
      <w:r>
        <w:t>The Compliance team coordinates with Systems Engineer to maintain operational readiness.</w:t>
      </w:r>
    </w:p>
    <w:p>
      <w:pPr>
        <w:pStyle w:val="ListBullet"/>
      </w:pPr>
      <w:r>
        <w:t>Regional teams in EU follow the same policy with localized legal review.</w:t>
      </w:r>
    </w:p>
    <w:p>
      <w:pPr>
        <w:pStyle w:val="ListBullet"/>
      </w:pPr>
      <w:r>
        <w:t>Systems are monitored via PostgreSQL and alert routing in Salesforce.</w:t>
      </w:r>
    </w:p>
    <w:p>
      <w:pPr>
        <w:pStyle w:val="ListBullet"/>
      </w:pPr>
      <w:r>
        <w:t>Escalations should follow the on-call rotation with a response target of 30 minutes.</w:t>
      </w:r>
    </w:p>
    <w:p>
      <w:pPr>
        <w:pStyle w:val="ListBullet"/>
      </w:pPr>
      <w:r>
        <w:t>This document aligns with SOC 2 requirements and supports EU data residency expectations.</w:t>
      </w:r>
    </w:p>
    <w:p>
      <w:pPr>
        <w:pStyle w:val="ListBullet"/>
      </w:pPr>
      <w:r>
        <w:t>Systems are monitored via PostgreSQL and alert routing in Salesforce.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Systems Engineer</w:t>
            </w:r>
          </w:p>
        </w:tc>
        <w:tc>
          <w:tcPr>
            <w:tcW w:type="dxa" w:w="2880"/>
          </w:tcPr>
          <w:p>
            <w:r>
              <w:t>Planned</w:t>
            </w:r>
          </w:p>
        </w:tc>
      </w:tr>
      <w:tr>
        <w:tc>
          <w:tcPr>
            <w:tcW w:type="dxa" w:w="2880"/>
          </w:tcPr>
          <w:p>
            <w:r>
              <w:t>Patch window</w:t>
            </w:r>
          </w:p>
        </w:tc>
        <w:tc>
          <w:tcPr>
            <w:tcW w:type="dxa" w:w="2880"/>
          </w:tcPr>
          <w:p>
            <w:r>
              <w:t>Operations</w:t>
            </w:r>
          </w:p>
        </w:tc>
        <w:tc>
          <w:tcPr>
            <w:tcW w:type="dxa" w:w="2880"/>
          </w:tcPr>
          <w:p>
            <w:r>
              <w:t>In Progress</w:t>
            </w:r>
          </w:p>
        </w:tc>
      </w:tr>
    </w:tbl>
    <w:p>
      <w:pPr>
        <w:pStyle w:val="Heading1"/>
      </w:pPr>
      <w:r>
        <w:t>How We Work</w:t>
      </w:r>
    </w:p>
    <w:p>
      <w:r>
        <w:t>Risk acceptance must be documented and revalidated each quarter. All changes require peer review and validation in the Log Aggregation Cluster before production promotion. Systems are monitored via PostgreSQL and alert routing in Salesforce. This document aligns with SOC 2 requirements and supports EU data residency expectations.</w:t>
      </w:r>
    </w:p>
    <w:p>
      <w:pPr>
        <w:pStyle w:val="ListBullet"/>
      </w:pPr>
      <w:r>
        <w:t>Stakeholders include the Systems Engineer, service owner, and compliance lead for approvals.</w:t>
      </w:r>
    </w:p>
    <w:p>
      <w:pPr>
        <w:pStyle w:val="ListBullet"/>
      </w:pPr>
      <w:r>
        <w:t>Evidence artifacts are retained in Salesforce for at least 24 months.</w:t>
      </w:r>
    </w:p>
    <w:p>
      <w:pPr>
        <w:pStyle w:val="ListBullet"/>
      </w:pPr>
      <w:r>
        <w:t>The Compliance organization uses PostgreSQL to enforce consistent service baselines.</w:t>
      </w:r>
    </w:p>
    <w:p>
      <w:pPr>
        <w:pStyle w:val="ListBullet"/>
      </w:pPr>
      <w:r>
        <w:t>Stakeholders include the Systems Engineer, service owner, and compliance lead for approvals.</w:t>
      </w:r>
    </w:p>
    <w:p>
      <w:pPr>
        <w:pStyle w:val="Heading1"/>
      </w:pPr>
      <w:r>
        <w:t>Key Contacts</w:t>
      </w:r>
    </w:p>
    <w:p>
      <w:r>
        <w:t>Stakeholders include the Systems Engineer, service owner, and compliance lead for approvals. We prioritize customer impact, data integrity, and regulatory alignment.</w:t>
      </w:r>
    </w:p>
    <w:p>
      <w:pPr>
        <w:pStyle w:val="ListBullet"/>
      </w:pPr>
      <w:r>
        <w:t>The Compliance team coordinates with Systems Engineer to maintain operational readiness.</w:t>
      </w:r>
    </w:p>
    <w:p>
      <w:pPr>
        <w:pStyle w:val="ListBullet"/>
      </w:pPr>
      <w:r>
        <w:t>Systems are monitored via PostgreSQL and alert routing in Salesforce.</w:t>
      </w:r>
    </w:p>
    <w:p>
      <w:pPr>
        <w:pStyle w:val="ListBullet"/>
      </w:pPr>
      <w:r>
        <w:t>Escalations should follow the on-call rotation with a response target of 30 minutes.</w:t>
      </w:r>
    </w:p>
    <w:p>
      <w:pPr>
        <w:pStyle w:val="ListBullet"/>
      </w:pPr>
      <w:r>
        <w:t>Evidence artifacts are retained in Salesforce for at least 24 months.</w:t>
      </w:r>
    </w:p>
    <w:p>
      <w:pPr>
        <w:pStyle w:val="ListBullet"/>
      </w:pPr>
      <w:r>
        <w:t>Escalations should follow the on-call rotation with a response target of 30 minutes.</w:t>
      </w:r>
    </w:p>
    <w:p>
      <w:pPr>
        <w:pStyle w:val="ListBullet"/>
      </w:pPr>
      <w:r>
        <w:t>Teams must log requests in Salesforce and track outcomes in Log Aggregation Cluster for audit readiness.</w:t>
      </w:r>
    </w:p>
    <w:p>
      <w:pPr>
        <w:pStyle w:val="Heading1"/>
      </w:pPr>
      <w:r>
        <w:t>Reference Links</w:t>
      </w:r>
    </w:p>
    <w:p>
      <w:r>
        <w:t>We prioritize customer impact, data integrity, and regulatory alignment. The process integrates with Log Aggregation Cluster and depends on PostgreSQL for telemetry signals. Stakeholders include the Systems Engineer, service owner, and compliance lead for approvals.</w:t>
      </w:r>
    </w:p>
    <w:p>
      <w:r>
        <w:t>The process integrates with Log Aggregation Cluster and depends on PostgreSQL for telemetry signals. The Compliance organization uses PostgreSQL to enforce consistent service baselines.</w:t>
      </w:r>
    </w:p>
    <w:p>
      <w:pPr>
        <w:pStyle w:val="ListBullet"/>
      </w:pPr>
      <w:r>
        <w:t>The Compliance organization uses PostgreSQL to enforce consistent service baselines.</w:t>
      </w:r>
    </w:p>
    <w:p>
      <w:pPr>
        <w:pStyle w:val="ListBullet"/>
      </w:pPr>
      <w:r>
        <w:t>The process integrates with Log Aggregation Cluster and depends on PostgreSQL for telemetry signals.</w:t>
      </w:r>
    </w:p>
    <w:p>
      <w:pPr>
        <w:pStyle w:val="ListBullet"/>
      </w:pPr>
      <w:r>
        <w:t>Teams must log requests in Salesforce and track outcomes in Log Aggregation Cluster for audit readiness.</w:t>
      </w:r>
    </w:p>
    <w:p>
      <w:pPr>
        <w:pStyle w:val="ListBullet"/>
      </w:pPr>
      <w:r>
        <w:t>Audit sampling occurs monthly and is summarized in leadership dashboards.</w:t>
      </w:r>
    </w:p>
    <w:p>
      <w:pPr>
        <w:pStyle w:val="ListBullet"/>
      </w:pPr>
      <w:r>
        <w:t>The Compliance organization uses PostgreSQL to enforce consistent service baselines.</w:t>
      </w:r>
    </w:p>
    <w:p>
      <w:pPr>
        <w:pStyle w:val="ListBullet"/>
      </w:pPr>
      <w:r>
        <w:t>Evidence artifacts are retained in Salesforce for at least 24 months.</w:t>
      </w:r>
    </w:p>
    <w:p>
      <w:pPr>
        <w:pStyle w:val="Heading1"/>
      </w:pPr>
      <w:r>
        <w:t>FAQ</w:t>
      </w:r>
    </w:p>
    <w:p>
      <w:r>
        <w:t>Escalations should follow the on-call rotation with a response target of 30 minutes. Risk acceptance must be documented and revalidated each quarter. This document aligns with SOC 2 requirements and supports EU data residency expectations. Systems are monitored via PostgreSQL and alert routing in Salesforce.</w:t>
      </w:r>
    </w:p>
    <w:p>
      <w:r>
        <w:t>All changes require peer review and validation in the Log Aggregation Cluster before production promotion. Escalations should follow the on-call rotation with a response target of 30 minutes. The Compliance team coordinates with Systems Engineer to maintain operational readiness.</w:t>
      </w:r>
    </w:p>
    <w:p>
      <w:pPr>
        <w:pStyle w:val="ListBullet"/>
      </w:pPr>
      <w:r>
        <w:t>We prioritize customer impact, data integrity, and regulatory alignment.</w:t>
      </w:r>
    </w:p>
    <w:p>
      <w:pPr>
        <w:pStyle w:val="ListBullet"/>
      </w:pPr>
      <w:r>
        <w:t>The Compliance team coordinates with Systems Engineer to maintain operational readiness.</w:t>
      </w:r>
    </w:p>
    <w:p>
      <w:pPr>
        <w:pStyle w:val="ListBullet"/>
      </w:pPr>
      <w:r>
        <w:t>Escalations should follow the on-call rotation with a response target of 30 minutes.</w:t>
      </w:r>
    </w:p>
    <w:p>
      <w:pPr>
        <w:pStyle w:val="ListBullet"/>
      </w:pPr>
      <w:r>
        <w:t>Stakeholders include the Systems Engineer, service owner, and compliance lead for approvals.</w:t>
      </w:r>
    </w:p>
    <w:p>
      <w:pPr>
        <w:pStyle w:val="ListBullet"/>
      </w:pPr>
      <w:r>
        <w:t>This document aligns with SOC 2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