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Wiki Pages - Compliance EU v1.0</w:t>
      </w:r>
    </w:p>
    <w:p>
      <w:r>
        <w:t>Department: Compliance</w:t>
      </w:r>
    </w:p>
    <w:p>
      <w:r>
        <w:t>Author: Avery Garcia</w:t>
      </w:r>
    </w:p>
    <w:p>
      <w:r>
        <w:t>Created date: 2025-08-01</w:t>
      </w:r>
    </w:p>
    <w:p>
      <w:r>
        <w:t>Region: EU</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Context</w:t>
      </w:r>
    </w:p>
    <w:p>
      <w:r>
        <w:t>The process integrates with Customer Data Lake and depends on ServiceNow for telemetry signals. The process integrates with Customer Data Lake and depends on ServiceNow for telemetry signals. All incidents are tagged with severity and mapped to service tiers.</w:t>
      </w:r>
    </w:p>
    <w:p>
      <w:pPr>
        <w:pStyle w:val="ListBullet"/>
      </w:pPr>
      <w:r>
        <w:t>This document aligns with ISO 27001 requirements and supports EU data residency expectations.</w:t>
      </w:r>
    </w:p>
    <w:p>
      <w:pPr>
        <w:pStyle w:val="ListBullet"/>
      </w:pPr>
      <w:r>
        <w:t>Evidence artifacts are retained in Workday for at least 36 months.</w:t>
      </w:r>
    </w:p>
    <w:p>
      <w:pPr>
        <w:pStyle w:val="ListBullet"/>
      </w:pPr>
      <w:r>
        <w:t>Evidence artifacts are retained in Workday for at least 36 months.</w:t>
      </w:r>
    </w:p>
    <w:p>
      <w:pPr>
        <w:pStyle w:val="ListBullet"/>
      </w:pPr>
      <w:r>
        <w:t>Evidence artifacts are retained in Workday for at least 36 months.</w:t>
      </w:r>
    </w:p>
    <w:p>
      <w:pPr>
        <w:pStyle w:val="ListBullet"/>
      </w:pPr>
      <w:r>
        <w:t>Teams must log requests in Workday and track outcomes in Customer Data Lake for audit readiness.</w:t>
      </w:r>
    </w:p>
    <w:p>
      <w:pPr>
        <w:pStyle w:val="Heading1"/>
      </w:pPr>
      <w:r>
        <w:t>How We Work</w:t>
      </w:r>
    </w:p>
    <w:p>
      <w:r>
        <w:t>Regional teams in EU follow the same policy with localized legal review. The Compliance organization uses ServiceNow to enforce consistent service baselines. We prioritize customer impact, data integrity, and regulatory alignment. Evidence artifacts are retained in Workday for at least 36 months.</w:t>
      </w:r>
    </w:p>
    <w:p>
      <w:pPr>
        <w:pStyle w:val="ListBullet"/>
      </w:pPr>
      <w:r>
        <w:t>We prioritize customer impact, data integrity, and regulatory alignment.</w:t>
      </w:r>
    </w:p>
    <w:p>
      <w:pPr>
        <w:pStyle w:val="ListBullet"/>
      </w:pPr>
      <w:r>
        <w:t>Escalations should follow the on-call rotation with a response target of 15 minutes.</w:t>
      </w:r>
    </w:p>
    <w:p>
      <w:pPr>
        <w:pStyle w:val="ListBullet"/>
      </w:pPr>
      <w:r>
        <w:t>Risk acceptance must be documented and revalidated each quarter.</w:t>
      </w:r>
    </w:p>
    <w:p>
      <w:pPr>
        <w:pStyle w:val="ListBullet"/>
      </w:pPr>
      <w:r>
        <w:t>Audit sampling occurs monthly and is summarized in leadership dashboards.</w:t>
      </w:r>
    </w:p>
    <w:p>
      <w:pPr>
        <w:pStyle w:val="ListBullet"/>
      </w:pPr>
      <w:r>
        <w:t>All incidents are tagged with severity and mapped to service tiers.</w:t>
      </w:r>
    </w:p>
    <w:p>
      <w:pPr>
        <w:pStyle w:val="Heading1"/>
      </w:pPr>
      <w:r>
        <w:t>Key Contacts</w:t>
      </w:r>
    </w:p>
    <w:p>
      <w:r>
        <w:t>The process integrates with Customer Data Lake and depends on ServiceNow for telemetry signals. All incidents are tagged with severity and mapped to service tiers.</w:t>
      </w:r>
    </w:p>
    <w:p>
      <w:r>
        <w:t>We prioritize customer impact, data integrity, and regulatory alignment. Regional teams in EU follow the same policy with localized legal review.</w:t>
      </w:r>
    </w:p>
    <w:p>
      <w:pPr>
        <w:pStyle w:val="ListBullet"/>
      </w:pPr>
      <w:r>
        <w:t>Audit sampling occurs monthly and is summarized in leadership dashboards.</w:t>
      </w:r>
    </w:p>
    <w:p>
      <w:pPr>
        <w:pStyle w:val="ListBullet"/>
      </w:pPr>
      <w:r>
        <w:t>Evidence artifacts are retained in Workday for at least 36 months.</w:t>
      </w:r>
    </w:p>
    <w:p>
      <w:pPr>
        <w:pStyle w:val="ListBullet"/>
      </w:pPr>
      <w:r>
        <w:t>Teams must log requests in Workday and track outcomes in Customer Data Lake for audit readiness.</w:t>
      </w:r>
    </w:p>
    <w:p>
      <w:pPr>
        <w:pStyle w:val="ListBullet"/>
      </w:pPr>
      <w:r>
        <w:t>All changes require peer review and validation in the Customer Data Lake before production promotion.</w:t>
      </w:r>
    </w:p>
    <w:p>
      <w:pPr>
        <w:pStyle w:val="Heading1"/>
      </w:pPr>
      <w:r>
        <w:t>Reference Links</w:t>
      </w:r>
    </w:p>
    <w:p>
      <w:r>
        <w:t>The Compliance organization uses ServiceNow to enforce consistent service baselines. The Compliance team coordinates with Product Manager to maintain operational readiness. The Compliance team coordinates with Product Manager to maintain operational readiness. Systems are monitored via ServiceNow and alert routing in Workday.</w:t>
      </w:r>
    </w:p>
    <w:p>
      <w:r>
        <w:t>This document aligns with ISO 27001 requirements and supports EU data residency expectations. The process integrates with Customer Data Lake and depends on ServiceNow for telemetry signals. Systems are monitored via ServiceNow and alert routing in Workday.</w:t>
      </w:r>
    </w:p>
    <w:p>
      <w:pPr>
        <w:pStyle w:val="ListBullet"/>
      </w:pPr>
      <w:r>
        <w:t>Stakeholders include the Product Manager, service owner, and compliance lead for approvals.</w:t>
      </w:r>
    </w:p>
    <w:p>
      <w:pPr>
        <w:pStyle w:val="ListBullet"/>
      </w:pPr>
      <w:r>
        <w:t>The process integrates with Customer Data Lake and depends on ServiceNow for telemetry signals.</w:t>
      </w:r>
    </w:p>
    <w:p>
      <w:pPr>
        <w:pStyle w:val="ListBullet"/>
      </w:pPr>
      <w:r>
        <w:t>All incidents are tagged with severity and mapped to service tiers.</w:t>
      </w:r>
    </w:p>
    <w:p>
      <w:pPr>
        <w:pStyle w:val="ListBullet"/>
      </w:pPr>
      <w:r>
        <w:t>We prioritize customer impact, data integrity, and regulatory alignment.</w:t>
      </w:r>
    </w:p>
    <w:p>
      <w:pPr>
        <w:pStyle w:val="Heading1"/>
      </w:pPr>
      <w:r>
        <w:t>FAQ</w:t>
      </w:r>
    </w:p>
    <w:p>
      <w:r>
        <w:t>Escalations should follow the on-call rotation with a response target of 15 minutes. Systems are monitored via ServiceNow and alert routing in Workday. The Compliance organization uses ServiceNow to enforce consistent service baselines. Risk acceptance must be documented and revalidated each quarter.</w:t>
      </w:r>
    </w:p>
    <w:p>
      <w:r>
        <w:t>All incidents are tagged with severity and mapped to service tiers. The process integrates with Customer Data Lake and depends on ServiceNow for telemetry signals. The process integrates with Customer Data Lake and depends on ServiceNow for telemetry signals. Escalations should follow the on-call rotation with a response target of 15 minutes.</w:t>
      </w:r>
    </w:p>
    <w:p>
      <w:pPr>
        <w:pStyle w:val="ListBullet"/>
      </w:pPr>
      <w:r>
        <w:t>We prioritize customer impact, data integrity, and regulatory alignment.</w:t>
      </w:r>
    </w:p>
    <w:p>
      <w:pPr>
        <w:pStyle w:val="ListBullet"/>
      </w:pPr>
      <w:r>
        <w:t>Regional teams in EU follow the same policy with localized legal review.</w:t>
      </w:r>
    </w:p>
    <w:p>
      <w:pPr>
        <w:pStyle w:val="ListBullet"/>
      </w:pPr>
      <w:r>
        <w:t>All changes require peer review and validation in the Customer Data Lake before production promotion.</w:t>
      </w:r>
    </w:p>
    <w:p>
      <w:pPr>
        <w:pStyle w:val="ListBullet"/>
      </w:pPr>
      <w:r>
        <w:t>The Compliance organization uses ServiceNow to enforce consistent service baselines.</w:t>
      </w:r>
    </w:p>
    <w:p>
      <w:pPr>
        <w:pStyle w:val="ListBullet"/>
      </w:pPr>
      <w:r>
        <w:t>Evidence artifacts are retained in Workday for at least 36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