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Compliance US v1.1</w:t>
      </w:r>
    </w:p>
    <w:p>
      <w:r>
        <w:t>Department: Compliance</w:t>
      </w:r>
    </w:p>
    <w:p>
      <w:r>
        <w:t>Author: Avery Garcia</w:t>
      </w:r>
    </w:p>
    <w:p>
      <w:r>
        <w:t>Created date: 2024-09-18</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Evidence artifacts are retained in Google Workspace for at least 12 months. Risk acceptance must be documented and revalidated each quarter.</w:t>
      </w:r>
    </w:p>
    <w:p>
      <w:r>
        <w:t>Stakeholders include the Platform Engineer, service owner, and compliance lead for approvals. The Compliance team coordinates with Platform Engineer to maintain operational readiness. Teams must log requests in Google Workspace and track outcomes in Identity Access Gateway for audit readiness. Regional teams in US follow the same policy with localized legal review.</w:t>
      </w:r>
    </w:p>
    <w:p>
      <w:pPr>
        <w:pStyle w:val="ListBullet"/>
      </w:pPr>
      <w:r>
        <w:t>Evidence artifacts are retained in Google Workspace for at least 12 months.</w:t>
      </w:r>
    </w:p>
    <w:p>
      <w:pPr>
        <w:pStyle w:val="ListBullet"/>
      </w:pPr>
      <w:r>
        <w:t>Regional teams in US follow the same policy with localized legal review.</w:t>
      </w:r>
    </w:p>
    <w:p>
      <w:pPr>
        <w:pStyle w:val="ListBullet"/>
      </w:pPr>
      <w:r>
        <w:t>Teams must log requests in Google Workspace and track outcomes in Identity Access Gateway for audit readiness.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Compliance</w:t>
            </w:r>
          </w:p>
        </w:tc>
        <w:tc>
          <w:tcPr>
            <w:tcW w:type="dxa" w:w="2880"/>
          </w:tcPr>
          <w:p>
            <w:r>
              <w:t>Planned</w:t>
            </w:r>
          </w:p>
        </w:tc>
      </w:tr>
      <w:tr>
        <w:tc>
          <w:tcPr>
            <w:tcW w:type="dxa" w:w="2880"/>
          </w:tcPr>
          <w:p>
            <w:r>
              <w:t>Backup validation</w:t>
            </w:r>
          </w:p>
        </w:tc>
        <w:tc>
          <w:tcPr>
            <w:tcW w:type="dxa" w:w="2880"/>
          </w:tcPr>
          <w:p>
            <w:r>
              <w:t>Security</w:t>
            </w:r>
          </w:p>
        </w:tc>
        <w:tc>
          <w:tcPr>
            <w:tcW w:type="dxa" w:w="2880"/>
          </w:tcPr>
          <w:p>
            <w:r>
              <w:t>Planned</w:t>
            </w:r>
          </w:p>
        </w:tc>
      </w:tr>
      <w:tr>
        <w:tc>
          <w:tcPr>
            <w:tcW w:type="dxa" w:w="2880"/>
          </w:tcPr>
          <w:p>
            <w:r>
              <w:t>Incident drill</w:t>
            </w:r>
          </w:p>
        </w:tc>
        <w:tc>
          <w:tcPr>
            <w:tcW w:type="dxa" w:w="2880"/>
          </w:tcPr>
          <w:p>
            <w:r>
              <w:t>Operations</w:t>
            </w:r>
          </w:p>
        </w:tc>
        <w:tc>
          <w:tcPr>
            <w:tcW w:type="dxa" w:w="2880"/>
          </w:tcPr>
          <w:p>
            <w:r>
              <w:t>Planned</w:t>
            </w:r>
          </w:p>
        </w:tc>
      </w:tr>
    </w:tbl>
    <w:p>
      <w:pPr>
        <w:pStyle w:val="Heading1"/>
      </w:pPr>
      <w:r>
        <w:t>How We Work</w:t>
      </w:r>
    </w:p>
    <w:p>
      <w:r>
        <w:t>Escalations should follow the on-call rotation with a response target of 30 minutes. All incidents are tagged with severity and mapped to service tiers.</w:t>
      </w:r>
    </w:p>
    <w:p>
      <w:r>
        <w:t>We prioritize customer impact, data integrity, and regulatory alignment. The Compliance organization uses Datadog to enforce consistent service baselines.</w:t>
      </w:r>
    </w:p>
    <w:p>
      <w:pPr>
        <w:pStyle w:val="ListBullet"/>
      </w:pPr>
      <w:r>
        <w:t>The process integrates with Identity Access Gateway and depends on Datadog for telemetry signals.</w:t>
      </w:r>
    </w:p>
    <w:p>
      <w:pPr>
        <w:pStyle w:val="ListBullet"/>
      </w:pPr>
      <w:r>
        <w:t>All incidents are tagged with severity and mapped to service tiers.</w:t>
      </w:r>
    </w:p>
    <w:p>
      <w:pPr>
        <w:pStyle w:val="ListBullet"/>
      </w:pPr>
      <w:r>
        <w:t>Risk acceptance must be documented and revalidated each quarter.</w:t>
      </w:r>
    </w:p>
    <w:p>
      <w:pPr>
        <w:pStyle w:val="Heading1"/>
      </w:pPr>
      <w:r>
        <w:t>Key Contacts</w:t>
      </w:r>
    </w:p>
    <w:p>
      <w:r>
        <w:t>Teams must log requests in Google Workspace and track outcomes in Identity Access Gateway for audit readiness. Evidence artifacts are retained in Google Workspace for at least 12 months. This document aligns with HIPAA requirements and supports US data residency expectations.</w:t>
      </w:r>
    </w:p>
    <w:p>
      <w:pPr>
        <w:pStyle w:val="ListBullet"/>
      </w:pPr>
      <w:r>
        <w:t>The Compliance team coordinates with Platform Engineer to maintain operational readiness.</w:t>
      </w:r>
    </w:p>
    <w:p>
      <w:pPr>
        <w:pStyle w:val="ListBullet"/>
      </w:pPr>
      <w:r>
        <w:t>Audit sampling occurs monthly and is summarized in leadership dashboards.</w:t>
      </w:r>
    </w:p>
    <w:p>
      <w:pPr>
        <w:pStyle w:val="ListBullet"/>
      </w:pPr>
      <w:r>
        <w:t>The Compliance team coordinates with Platform Engineer to maintain operational readiness.</w:t>
      </w:r>
    </w:p>
    <w:p>
      <w:pPr>
        <w:pStyle w:val="Heading1"/>
      </w:pPr>
      <w:r>
        <w:t>Reference Links</w:t>
      </w:r>
    </w:p>
    <w:p>
      <w:r>
        <w:t>The Compliance organization uses Datadog to enforce consistent service baselines. Teams must log requests in Google Workspace and track outcomes in Identity Access Gateway for audit readiness. We prioritize customer impact, data integrity, and regulatory alignment.</w:t>
      </w:r>
    </w:p>
    <w:p>
      <w:r>
        <w:t>Escalations should follow the on-call rotation with a response target of 30 minutes. We prioritize customer impact, data integrity, and regulatory alignment. Audit sampling occurs monthly and is summarized in leadership dashboards.</w:t>
      </w:r>
    </w:p>
    <w:p>
      <w:pPr>
        <w:pStyle w:val="ListBullet"/>
      </w:pPr>
      <w:r>
        <w:t>Evidence artifacts are retained in Google Workspace for at least 12 months.</w:t>
      </w:r>
    </w:p>
    <w:p>
      <w:pPr>
        <w:pStyle w:val="ListBullet"/>
      </w:pPr>
      <w:r>
        <w:t>Teams must log requests in Google Workspace and track outcomes in Identity Access Gateway for audit readiness.</w:t>
      </w:r>
    </w:p>
    <w:p>
      <w:pPr>
        <w:pStyle w:val="ListBullet"/>
      </w:pPr>
      <w:r>
        <w:t>All incidents are tagged with severity and mapped to service tiers.</w:t>
      </w:r>
    </w:p>
    <w:p>
      <w:pPr>
        <w:pStyle w:val="Heading1"/>
      </w:pPr>
      <w:r>
        <w:t>FAQ</w:t>
      </w:r>
    </w:p>
    <w:p>
      <w:r>
        <w:t>This document aligns with HIPAA requirements and supports US data residency expectations. Evidence artifacts are retained in Google Workspace for at least 12 months.</w:t>
      </w:r>
    </w:p>
    <w:p>
      <w:r>
        <w:t>The Compliance team coordinates with Platform Engineer to maintain operational readiness. Regional teams in US follow the same policy with localized legal review. Systems are monitored via Datadog and alert routing in Google Workspace.</w:t>
      </w:r>
    </w:p>
    <w:p>
      <w:pPr>
        <w:pStyle w:val="ListBullet"/>
      </w:pPr>
      <w:r>
        <w:t>The process integrates with Identity Access Gateway and depends on Datadog for telemetry signals.</w:t>
      </w:r>
    </w:p>
    <w:p>
      <w:pPr>
        <w:pStyle w:val="ListBullet"/>
      </w:pPr>
      <w:r>
        <w:t>Teams must log requests in Google Workspace and track outcomes in Identity Access Gateway for audit readiness.</w:t>
      </w:r>
    </w:p>
    <w:p>
      <w:pPr>
        <w:pStyle w:val="ListBullet"/>
      </w:pPr>
      <w:r>
        <w:t>The Compliance team coordinates with Platform Engineer to maintain operational readiness.</w:t>
      </w:r>
    </w:p>
    <w:p>
      <w:pPr>
        <w:pStyle w:val="ListBullet"/>
      </w:pPr>
      <w:r>
        <w:t>We prioritize customer impact, data integrity, and regulatory alignment.</w:t>
      </w:r>
    </w:p>
    <w:p>
      <w:pPr>
        <w:pStyle w:val="ListBullet"/>
      </w:pPr>
      <w:r>
        <w:t>Escalations should follow the on-call rotation with a response target of 30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