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Internal Wiki Pages - Engineering EU v1.1</w:t>
      </w:r>
    </w:p>
    <w:p>
      <w:r>
        <w:t>Department: Engineering</w:t>
      </w:r>
    </w:p>
    <w:p>
      <w:r>
        <w:t>Author: Riley Garcia</w:t>
      </w:r>
    </w:p>
    <w:p>
      <w:r>
        <w:t>Created date: 2024-07-21</w:t>
      </w:r>
    </w:p>
    <w:p>
      <w:r>
        <w:t>Region: EU</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Context</w:t>
      </w:r>
    </w:p>
    <w:p>
      <w:r>
        <w:t>This document aligns with HIPAA requirements and supports EU data residency expectations. Regional teams in EU follow the same policy with localized legal review. Audit sampling occurs monthly and is summarized in leadership dashboards.</w:t>
      </w:r>
    </w:p>
    <w:p>
      <w:pPr>
        <w:pStyle w:val="ListBullet"/>
      </w:pPr>
      <w:r>
        <w:t>Regional teams in EU follow the same policy with localized legal review.</w:t>
      </w:r>
    </w:p>
    <w:p>
      <w:pPr>
        <w:pStyle w:val="ListBullet"/>
      </w:pPr>
      <w:r>
        <w:t>Stakeholders include the HR Business Partner, service owner, and compliance lead for approvals.</w:t>
      </w:r>
    </w:p>
    <w:p>
      <w:pPr>
        <w:pStyle w:val="ListBullet"/>
      </w:pPr>
      <w:r>
        <w:t>Risk acceptance must be documented and revalidated each quarter.</w:t>
      </w:r>
    </w:p>
    <w:p>
      <w:pPr>
        <w:pStyle w:val="ListBullet"/>
      </w:pPr>
      <w:r>
        <w:t>All incidents are tagged with severity and mapped to service tiers.</w:t>
      </w:r>
    </w:p>
    <w:p>
      <w:pPr>
        <w:pStyle w:val="Heading1"/>
      </w:pPr>
      <w:r>
        <w:t>How We Work</w:t>
      </w:r>
    </w:p>
    <w:p>
      <w:r>
        <w:t>Audit sampling occurs monthly and is summarized in leadership dashboards. Teams must log requests in Microsoft 365 and track outcomes in Monitoring Stack for audit readiness. Stakeholders include the HR Business Partner, service owner, and compliance lead for approvals.</w:t>
      </w:r>
    </w:p>
    <w:p>
      <w:r>
        <w:t>Teams must log requests in Microsoft 365 and track outcomes in Monitoring Stack for audit readiness. Evidence artifacts are retained in Microsoft 365 for at least 18 months. Escalations should follow the on-call rotation with a response target of 30 minutes. All incidents are tagged with severity and mapped to service tiers.</w:t>
      </w:r>
    </w:p>
    <w:p>
      <w:pPr>
        <w:pStyle w:val="ListBullet"/>
      </w:pPr>
      <w:r>
        <w:t>Stakeholders include the HR Business Partner, service owner, and compliance lead for approvals.</w:t>
      </w:r>
    </w:p>
    <w:p>
      <w:pPr>
        <w:pStyle w:val="ListBullet"/>
      </w:pPr>
      <w:r>
        <w:t>All changes require peer review and validation in the Monitoring Stack before production promotion.</w:t>
      </w:r>
    </w:p>
    <w:p>
      <w:pPr>
        <w:pStyle w:val="ListBullet"/>
      </w:pPr>
      <w:r>
        <w:t>This document aligns with HIPAA requirements and supports EU data residency expectations.</w:t>
      </w:r>
    </w:p>
    <w:p>
      <w:pPr>
        <w:pStyle w:val="ListBullet"/>
      </w:pPr>
      <w:r>
        <w:t>The process integrates with Monitoring Stack and depends on Prometheus for telemetry signals.</w:t>
      </w:r>
    </w:p>
    <w:p>
      <w:pPr>
        <w:pStyle w:val="Heading1"/>
      </w:pPr>
      <w:r>
        <w:t>Key Contacts</w:t>
      </w:r>
    </w:p>
    <w:p>
      <w:r>
        <w:t>Escalations should follow the on-call rotation with a response target of 30 minutes. The Engineering team coordinates with HR Business Partner to maintain operational readiness.</w:t>
      </w:r>
    </w:p>
    <w:p>
      <w:r>
        <w:t>Risk acceptance must be documented and revalidated each quarter. We prioritize customer impact, data integrity, and regulatory alignment. The Engineering organization uses Prometheus to enforce consistent service baselines.</w:t>
      </w:r>
    </w:p>
    <w:p>
      <w:pPr>
        <w:pStyle w:val="ListBullet"/>
      </w:pPr>
      <w:r>
        <w:t>Evidence artifacts are retained in Microsoft 365 for at least 18 months.</w:t>
      </w:r>
    </w:p>
    <w:p>
      <w:pPr>
        <w:pStyle w:val="ListBullet"/>
      </w:pPr>
      <w:r>
        <w:t>Audit sampling occurs monthly and is summarized in leadership dashboards.</w:t>
      </w:r>
    </w:p>
    <w:p>
      <w:pPr>
        <w:pStyle w:val="ListBullet"/>
      </w:pPr>
      <w:r>
        <w:t>Risk acceptance must be documented and revalidated each quarter.</w:t>
      </w:r>
    </w:p>
    <w:p>
      <w:pPr>
        <w:pStyle w:val="ListBullet"/>
      </w:pPr>
      <w:r>
        <w:t>The Engineering organization uses Prometheus to enforce consistent service baselines.</w:t>
      </w:r>
    </w:p>
    <w:p>
      <w:pPr>
        <w:pStyle w:val="Heading1"/>
      </w:pPr>
      <w:r>
        <w:t>Reference Links</w:t>
      </w:r>
    </w:p>
    <w:p>
      <w:r>
        <w:t>The process integrates with Monitoring Stack and depends on Prometheus for telemetry signals. Audit sampling occurs monthly and is summarized in leadership dashboards.</w:t>
      </w:r>
    </w:p>
    <w:p>
      <w:pPr>
        <w:pStyle w:val="ListBullet"/>
      </w:pPr>
      <w:r>
        <w:t>This document aligns with HIPAA requirements and supports EU data residency expectations.</w:t>
      </w:r>
    </w:p>
    <w:p>
      <w:pPr>
        <w:pStyle w:val="ListBullet"/>
      </w:pPr>
      <w:r>
        <w:t>Regional teams in EU follow the same policy with localized legal review.</w:t>
      </w:r>
    </w:p>
    <w:p>
      <w:pPr>
        <w:pStyle w:val="ListBullet"/>
      </w:pPr>
      <w:r>
        <w:t>Teams must log requests in Microsoft 365 and track outcomes in Monitoring Stack for audit readiness.</w:t>
      </w:r>
    </w:p>
    <w:p>
      <w:pPr>
        <w:pStyle w:val="ListBullet"/>
      </w:pPr>
      <w:r>
        <w:t>All incidents are tagged with severity and mapped to service tiers.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Security</w:t>
            </w:r>
          </w:p>
        </w:tc>
        <w:tc>
          <w:tcPr>
            <w:tcW w:type="dxa" w:w="2880"/>
          </w:tcPr>
          <w:p>
            <w:r>
              <w:t>Blocked</w:t>
            </w:r>
          </w:p>
        </w:tc>
      </w:tr>
      <w:tr>
        <w:tc>
          <w:tcPr>
            <w:tcW w:type="dxa" w:w="2880"/>
          </w:tcPr>
          <w:p>
            <w:r>
              <w:t>Patch window</w:t>
            </w:r>
          </w:p>
        </w:tc>
        <w:tc>
          <w:tcPr>
            <w:tcW w:type="dxa" w:w="2880"/>
          </w:tcPr>
          <w:p>
            <w:r>
              <w:t>Operations</w:t>
            </w:r>
          </w:p>
        </w:tc>
        <w:tc>
          <w:tcPr>
            <w:tcW w:type="dxa" w:w="2880"/>
          </w:tcPr>
          <w:p>
            <w:r>
              <w:t>Planned</w:t>
            </w:r>
          </w:p>
        </w:tc>
      </w:tr>
    </w:tbl>
    <w:p>
      <w:pPr>
        <w:pStyle w:val="Heading1"/>
      </w:pPr>
      <w:r>
        <w:t>FAQ</w:t>
      </w:r>
    </w:p>
    <w:p>
      <w:r>
        <w:t>The process integrates with Monitoring Stack and depends on Prometheus for telemetry signals. The Engineering team coordinates with HR Business Partner to maintain operational readiness.</w:t>
      </w:r>
    </w:p>
    <w:p>
      <w:r>
        <w:t>All changes require peer review and validation in the Monitoring Stack before production promotion. Audit sampling occurs monthly and is summarized in leadership dashboards. Teams must log requests in Microsoft 365 and track outcomes in Monitoring Stack for audit readiness. All changes require peer review and validation in the Monitoring Stack before production promotion.</w:t>
      </w:r>
    </w:p>
    <w:p>
      <w:pPr>
        <w:pStyle w:val="ListBullet"/>
      </w:pPr>
      <w:r>
        <w:t>Evidence artifacts are retained in Microsoft 365 for at least 18 months.</w:t>
      </w:r>
    </w:p>
    <w:p>
      <w:pPr>
        <w:pStyle w:val="ListBullet"/>
      </w:pPr>
      <w:r>
        <w:t>All changes require peer review and validation in the Monitoring Stack before production promotion.</w:t>
      </w:r>
    </w:p>
    <w:p>
      <w:pPr>
        <w:pStyle w:val="ListBullet"/>
      </w:pPr>
      <w:r>
        <w:t>The Engineering organization uses Prometheus to enforce consistent service baselines.</w:t>
      </w:r>
    </w:p>
    <w:p>
      <w:pPr>
        <w:pStyle w:val="ListBullet"/>
      </w:pPr>
      <w:r>
        <w:t>Escalations should follow the on-call rotation with a response target of 30 minutes.</w:t>
      </w:r>
    </w:p>
    <w:p>
      <w:pPr>
        <w:pStyle w:val="ListBullet"/>
      </w:pPr>
      <w:r>
        <w:t>Risk acceptance must be documented and revalidated each quarter.</w:t>
      </w:r>
    </w:p>
    <w:p>
      <w:pPr>
        <w:pStyle w:val="ListBullet"/>
      </w:pPr>
      <w:r>
        <w:t>All changes require peer review and validation in the Monitoring Stack before production promotion.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