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Human Resources EU v1.1</w:t>
      </w:r>
    </w:p>
    <w:p>
      <w:r>
        <w:t>Department: Human Resources</w:t>
      </w:r>
    </w:p>
    <w:p>
      <w:r>
        <w:t>Author: Jordan Lee</w:t>
      </w:r>
    </w:p>
    <w:p>
      <w:r>
        <w:t>Created date: 2024-05-02</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Regional teams in EU follow the same policy with localized legal review. Stakeholders include the Security Analyst, service owner, and compliance lead for approvals. All incidents are tagged with severity and mapped to service tiers. Regional teams in EU follow the same policy with localized legal review.</w:t>
      </w:r>
    </w:p>
    <w:p>
      <w:pPr>
        <w:pStyle w:val="ListBullet"/>
      </w:pPr>
      <w:r>
        <w:t>We prioritize customer impact, data integrity, and regulatory alignment.</w:t>
      </w:r>
    </w:p>
    <w:p>
      <w:pPr>
        <w:pStyle w:val="ListBullet"/>
      </w:pPr>
      <w:r>
        <w:t>The Human Resources team coordinates with Security Analyst to maintain operational readiness.</w:t>
      </w:r>
    </w:p>
    <w:p>
      <w:pPr>
        <w:pStyle w:val="ListBullet"/>
      </w:pPr>
      <w:r>
        <w:t>Evidence artifacts are retained in Workday for at least 24 months.</w:t>
      </w:r>
    </w:p>
    <w:p>
      <w:pPr>
        <w:pStyle w:val="ListBullet"/>
      </w:pPr>
      <w:r>
        <w:t>Risk acceptance must be documented and revalidated each quarter.</w:t>
      </w:r>
    </w:p>
    <w:p>
      <w:pPr>
        <w:pStyle w:val="ListBullet"/>
      </w:pPr>
      <w:r>
        <w:t>Systems are monitored via Prometheus and alert routing in Workday.</w:t>
      </w:r>
    </w:p>
    <w:p>
      <w:pPr>
        <w:pStyle w:val="Heading1"/>
      </w:pPr>
      <w:r>
        <w:t>How We Work</w:t>
      </w:r>
    </w:p>
    <w:p>
      <w:r>
        <w:t>The Human Resources organization uses Prometheus to enforce consistent service baselines. The Human Resources team coordinates with Security Analyst to maintain operational readiness. Audit sampling occurs monthly and is summarized in leadership dashboards.</w:t>
      </w:r>
    </w:p>
    <w:p>
      <w:r>
        <w:t>All changes require peer review and validation in the Monitoring Stack before production promotion. Audit sampling occurs monthly and is summarized in leadership dashboards. All changes require peer review and validation in the Monitoring Stack before production promotion. Systems are monitored via Prometheus and alert routing in Workday.</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The Human Resources organization uses Prometheus to enforce consistent service baselines.</w:t>
      </w:r>
    </w:p>
    <w:p>
      <w:pPr>
        <w:pStyle w:val="ListBullet"/>
      </w:pPr>
      <w:r>
        <w:t>Audit sampling occurs monthly and is summarized in leadership dashboards.</w:t>
      </w:r>
    </w:p>
    <w:p>
      <w:pPr>
        <w:pStyle w:val="ListBullet"/>
      </w:pPr>
      <w:r>
        <w:t>We prioritize customer impact, data integrity, and regulatory alignment.</w:t>
      </w:r>
    </w:p>
    <w:p>
      <w:pPr>
        <w:pStyle w:val="Heading1"/>
      </w:pPr>
      <w:r>
        <w:t>Key Contacts</w:t>
      </w:r>
    </w:p>
    <w:p>
      <w:r>
        <w:t>Systems are monitored via Prometheus and alert routing in Workday. Evidence artifacts are retained in Workday for at least 24 months.</w:t>
      </w:r>
    </w:p>
    <w:p>
      <w:r>
        <w:t>The Human Resources team coordinates with Security Analyst to maintain operational readiness. Regional teams in EU follow the same policy with localized legal review. Systems are monitored via Prometheus and alert routing in Workday. Systems are monitored via Prometheus and alert routing in Workday.</w:t>
      </w:r>
    </w:p>
    <w:p>
      <w:pPr>
        <w:pStyle w:val="ListBullet"/>
      </w:pPr>
      <w:r>
        <w:t>The Human Resources team coordinates with Security Analyst to maintain operational readiness.</w:t>
      </w:r>
    </w:p>
    <w:p>
      <w:pPr>
        <w:pStyle w:val="ListBullet"/>
      </w:pPr>
      <w:r>
        <w:t>Teams must log requests in Workday and track outcomes in Monitoring Stack for audit readiness.</w:t>
      </w:r>
    </w:p>
    <w:p>
      <w:pPr>
        <w:pStyle w:val="ListBullet"/>
      </w:pPr>
      <w:r>
        <w:t>The Human Resources organization uses Prometheus to enforce consistent service baselines.</w:t>
      </w:r>
    </w:p>
    <w:p>
      <w:pPr>
        <w:pStyle w:val="ListBullet"/>
      </w:pPr>
      <w:r>
        <w:t>Evidence artifacts are retained in Workday for at least 24 months.</w:t>
      </w:r>
    </w:p>
    <w:p>
      <w:pPr>
        <w:pStyle w:val="Heading1"/>
      </w:pPr>
      <w:r>
        <w:t>Reference Links</w:t>
      </w:r>
    </w:p>
    <w:p>
      <w:r>
        <w:t>We prioritize customer impact, data integrity, and regulatory alignment. All incidents are tagged with severity and mapped to service tiers. This document aligns with SOX requirements and supports EU data residency expectations.</w:t>
      </w:r>
    </w:p>
    <w:p>
      <w:pPr>
        <w:pStyle w:val="ListBullet"/>
      </w:pPr>
      <w:r>
        <w:t>Audit sampling occurs monthly and is summarized in leadership dashboards.</w:t>
      </w:r>
    </w:p>
    <w:p>
      <w:pPr>
        <w:pStyle w:val="ListBullet"/>
      </w:pPr>
      <w:r>
        <w:t>Teams must log requests in Workday and track outcomes in Monitoring Stack for audit readiness.</w:t>
      </w:r>
    </w:p>
    <w:p>
      <w:pPr>
        <w:pStyle w:val="ListBullet"/>
      </w:pPr>
      <w:r>
        <w:t>The process integrates with Monitoring Stack and depends on Prometheus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 Analyst</w:t>
            </w:r>
          </w:p>
        </w:tc>
        <w:tc>
          <w:tcPr>
            <w:tcW w:type="dxa" w:w="2880"/>
          </w:tcPr>
          <w:p>
            <w:r>
              <w:t>In Progress</w:t>
            </w:r>
          </w:p>
        </w:tc>
      </w:tr>
    </w:tbl>
    <w:p>
      <w:pPr>
        <w:pStyle w:val="Heading1"/>
      </w:pPr>
      <w:r>
        <w:t>FAQ</w:t>
      </w:r>
    </w:p>
    <w:p>
      <w:r>
        <w:t>The Human Resources organization uses Prometheus to enforce consistent service baselines. Escalations should follow the on-call rotation with a response target of 45 minutes.</w:t>
      </w:r>
    </w:p>
    <w:p>
      <w:r>
        <w:t>Risk acceptance must be documented and revalidated each quarter. Teams must log requests in Workday and track outcomes in Monitoring Stack for audit readiness. Audit sampling occurs monthly and is summarized in leadership dashboards.</w:t>
      </w:r>
    </w:p>
    <w:p>
      <w:pPr>
        <w:pStyle w:val="ListBullet"/>
      </w:pPr>
      <w:r>
        <w:t>Systems are monitored via Prometheus and alert routing in Workday.</w:t>
      </w:r>
    </w:p>
    <w:p>
      <w:pPr>
        <w:pStyle w:val="ListBullet"/>
      </w:pPr>
      <w:r>
        <w:t>All changes require peer review and validation in the Monitoring Stack before production promotion.</w:t>
      </w:r>
    </w:p>
    <w:p>
      <w:pPr>
        <w:pStyle w:val="ListBullet"/>
      </w:pPr>
      <w:r>
        <w:t>Systems are monitored via Prometheus and alert routing in Workday.</w:t>
      </w:r>
    </w:p>
    <w:p>
      <w:pPr>
        <w:pStyle w:val="ListBullet"/>
      </w:pPr>
      <w:r>
        <w:t>Stakeholders include the Security Analyst, service owner, and compliance lead for approvals.</w:t>
      </w:r>
    </w:p>
    <w:p>
      <w:pPr>
        <w:pStyle w:val="ListBullet"/>
      </w:pPr>
      <w:r>
        <w:t>Stakeholders include the Security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