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Wiki Pages - Information Technology APAC v1.2</w:t>
      </w:r>
    </w:p>
    <w:p>
      <w:r>
        <w:t>Department: Information Technology</w:t>
      </w:r>
    </w:p>
    <w:p>
      <w:r>
        <w:t>Author: Taylor Garcia</w:t>
      </w:r>
    </w:p>
    <w:p>
      <w:r>
        <w:t>Created date: 2024-12-08</w:t>
      </w:r>
    </w:p>
    <w:p>
      <w:r>
        <w:t>Region: APAC</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Context</w:t>
      </w:r>
    </w:p>
    <w:p>
      <w:r>
        <w:t>Stakeholders include the SRE, service owner, and compliance lead for approvals. Systems are monitored via Terraform and alert routing in Slack. Regional teams in APAC follow the same policy with localized legal review. Audit sampling occurs monthly and is summarized in leadership dashboards.</w:t>
      </w:r>
    </w:p>
    <w:p>
      <w:r>
        <w:t>The Information Technology team coordinates with SRE to maintain operational readiness. Systems are monitored via Terraform and alert routing in Slack.</w:t>
      </w:r>
    </w:p>
    <w:p>
      <w:pPr>
        <w:pStyle w:val="ListBullet"/>
      </w:pPr>
      <w:r>
        <w:t>All incidents are tagged with severity and mapped to service tiers.</w:t>
      </w:r>
    </w:p>
    <w:p>
      <w:pPr>
        <w:pStyle w:val="ListBullet"/>
      </w:pPr>
      <w:r>
        <w:t>Evidence artifacts are retained in Slack for at least 18 months.</w:t>
      </w:r>
    </w:p>
    <w:p>
      <w:pPr>
        <w:pStyle w:val="ListBullet"/>
      </w:pPr>
      <w:r>
        <w:t>The Information Technology organization uses Terraform to enforce consistent service baselines.</w:t>
      </w:r>
    </w:p>
    <w:p>
      <w:pPr>
        <w:pStyle w:val="ListBullet"/>
      </w:pPr>
      <w:r>
        <w:t>Risk acceptance must be documented and revalidated each quarter.</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Operations</w:t>
            </w:r>
          </w:p>
        </w:tc>
        <w:tc>
          <w:tcPr>
            <w:tcW w:type="dxa" w:w="2880"/>
          </w:tcPr>
          <w:p>
            <w:r>
              <w:t>Blocked</w:t>
            </w:r>
          </w:p>
        </w:tc>
      </w:tr>
      <w:tr>
        <w:tc>
          <w:tcPr>
            <w:tcW w:type="dxa" w:w="2880"/>
          </w:tcPr>
          <w:p>
            <w:r>
              <w:t>Access review</w:t>
            </w:r>
          </w:p>
        </w:tc>
        <w:tc>
          <w:tcPr>
            <w:tcW w:type="dxa" w:w="2880"/>
          </w:tcPr>
          <w:p>
            <w:r>
              <w:t>Security</w:t>
            </w:r>
          </w:p>
        </w:tc>
        <w:tc>
          <w:tcPr>
            <w:tcW w:type="dxa" w:w="2880"/>
          </w:tcPr>
          <w:p>
            <w:r>
              <w:t>Blocked</w:t>
            </w:r>
          </w:p>
        </w:tc>
      </w:tr>
      <w:tr>
        <w:tc>
          <w:tcPr>
            <w:tcW w:type="dxa" w:w="2880"/>
          </w:tcPr>
          <w:p>
            <w:r>
              <w:t>Patch window</w:t>
            </w:r>
          </w:p>
        </w:tc>
        <w:tc>
          <w:tcPr>
            <w:tcW w:type="dxa" w:w="2880"/>
          </w:tcPr>
          <w:p>
            <w:r>
              <w:t>Security</w:t>
            </w:r>
          </w:p>
        </w:tc>
        <w:tc>
          <w:tcPr>
            <w:tcW w:type="dxa" w:w="2880"/>
          </w:tcPr>
          <w:p>
            <w:r>
              <w:t>In Progress</w:t>
            </w:r>
          </w:p>
        </w:tc>
      </w:tr>
      <w:tr>
        <w:tc>
          <w:tcPr>
            <w:tcW w:type="dxa" w:w="2880"/>
          </w:tcPr>
          <w:p>
            <w:r>
              <w:t>Backup validation</w:t>
            </w:r>
          </w:p>
        </w:tc>
        <w:tc>
          <w:tcPr>
            <w:tcW w:type="dxa" w:w="2880"/>
          </w:tcPr>
          <w:p>
            <w:r>
              <w:t>Information Technology</w:t>
            </w:r>
          </w:p>
        </w:tc>
        <w:tc>
          <w:tcPr>
            <w:tcW w:type="dxa" w:w="2880"/>
          </w:tcPr>
          <w:p>
            <w:r>
              <w:t>Complete</w:t>
            </w:r>
          </w:p>
        </w:tc>
      </w:tr>
    </w:tbl>
    <w:p>
      <w:pPr>
        <w:pStyle w:val="Heading1"/>
      </w:pPr>
      <w:r>
        <w:t>How We Work</w:t>
      </w:r>
    </w:p>
    <w:p>
      <w:r>
        <w:t>Systems are monitored via Terraform and alert routing in Slack. The Information Technology organization uses Terraform to enforce consistent service baselines. Evidence artifacts are retained in Slack for at least 18 months. Regional teams in APAC follow the same policy with localized legal review.</w:t>
      </w:r>
    </w:p>
    <w:p>
      <w:pPr>
        <w:pStyle w:val="ListBullet"/>
      </w:pPr>
      <w:r>
        <w:t>Teams must log requests in Slack and track outcomes in Identity Access Gateway for audit readiness.</w:t>
      </w:r>
    </w:p>
    <w:p>
      <w:pPr>
        <w:pStyle w:val="ListBullet"/>
      </w:pPr>
      <w:r>
        <w:t>Teams must log requests in Slack and track outcomes in Identity Access Gateway for audit readiness.</w:t>
      </w:r>
    </w:p>
    <w:p>
      <w:pPr>
        <w:pStyle w:val="ListBullet"/>
      </w:pPr>
      <w:r>
        <w:t>All changes require peer review and validation in the Identity Access Gateway before production promotion.</w:t>
      </w:r>
    </w:p>
    <w:p>
      <w:pPr>
        <w:pStyle w:val="ListBullet"/>
      </w:pPr>
      <w:r>
        <w:t>All incidents are tagged with severity and mapped to service tiers.</w:t>
      </w:r>
    </w:p>
    <w:p>
      <w:pPr>
        <w:pStyle w:val="ListBullet"/>
      </w:pPr>
      <w:r>
        <w:t>We prioritize customer impact, data integrity, and regulatory alignment.</w:t>
      </w:r>
    </w:p>
    <w:p>
      <w:pPr>
        <w:pStyle w:val="Heading1"/>
      </w:pPr>
      <w:r>
        <w:t>Key Contacts</w:t>
      </w:r>
    </w:p>
    <w:p>
      <w:r>
        <w:t>The process integrates with Identity Access Gateway and depends on Terraform for telemetry signals. The process integrates with Identity Access Gateway and depends on Terraform for telemetry signals.</w:t>
      </w:r>
    </w:p>
    <w:p>
      <w:r>
        <w:t>Audit sampling occurs monthly and is summarized in leadership dashboards. Regional teams in APAC follow the same policy with localized legal review.</w:t>
      </w:r>
    </w:p>
    <w:p>
      <w:pPr>
        <w:pStyle w:val="ListBullet"/>
      </w:pPr>
      <w:r>
        <w:t>Escalations should follow the on-call rotation with a response target of 15 minutes.</w:t>
      </w:r>
    </w:p>
    <w:p>
      <w:pPr>
        <w:pStyle w:val="ListBullet"/>
      </w:pPr>
      <w:r>
        <w:t>The Information Technology team coordinates with SRE to maintain operational readiness.</w:t>
      </w:r>
    </w:p>
    <w:p>
      <w:pPr>
        <w:pStyle w:val="ListBullet"/>
      </w:pPr>
      <w:r>
        <w:t>The Information Technology organization uses Terraform to enforce consistent service baselines.</w:t>
      </w:r>
    </w:p>
    <w:p>
      <w:pPr>
        <w:pStyle w:val="ListBullet"/>
      </w:pPr>
      <w:r>
        <w:t>Risk acceptance must be documented and revalidated each quarter.</w:t>
      </w:r>
    </w:p>
    <w:p>
      <w:pPr>
        <w:pStyle w:val="Heading1"/>
      </w:pPr>
      <w:r>
        <w:t>Reference Links</w:t>
      </w:r>
    </w:p>
    <w:p>
      <w:r>
        <w:t>Regional teams in APAC follow the same policy with localized legal review. All changes require peer review and validation in the Identity Access Gateway before production promotion. All changes require peer review and validation in the Identity Access Gateway before production promotion. Evidence artifacts are retained in Slack for at least 18 months.</w:t>
      </w:r>
    </w:p>
    <w:p>
      <w:pPr>
        <w:pStyle w:val="ListBullet"/>
      </w:pPr>
      <w:r>
        <w:t>Stakeholders include the SRE, service owner, and compliance lead for approvals.</w:t>
      </w:r>
    </w:p>
    <w:p>
      <w:pPr>
        <w:pStyle w:val="ListBullet"/>
      </w:pPr>
      <w:r>
        <w:t>Escalations should follow the on-call rotation with a response target of 15 minutes.</w:t>
      </w:r>
    </w:p>
    <w:p>
      <w:pPr>
        <w:pStyle w:val="ListBullet"/>
      </w:pPr>
      <w:r>
        <w:t>Stakeholders include the SRE, service owner, and compliance lead for approvals.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Information Technology</w:t>
            </w:r>
          </w:p>
        </w:tc>
        <w:tc>
          <w:tcPr>
            <w:tcW w:type="dxa" w:w="2880"/>
          </w:tcPr>
          <w:p>
            <w:r>
              <w:t>Blocked</w:t>
            </w:r>
          </w:p>
        </w:tc>
      </w:tr>
      <w:tr>
        <w:tc>
          <w:tcPr>
            <w:tcW w:type="dxa" w:w="2880"/>
          </w:tcPr>
          <w:p>
            <w:r>
              <w:t>Vendor check</w:t>
            </w:r>
          </w:p>
        </w:tc>
        <w:tc>
          <w:tcPr>
            <w:tcW w:type="dxa" w:w="2880"/>
          </w:tcPr>
          <w:p>
            <w:r>
              <w:t>SRE</w:t>
            </w:r>
          </w:p>
        </w:tc>
        <w:tc>
          <w:tcPr>
            <w:tcW w:type="dxa" w:w="2880"/>
          </w:tcPr>
          <w:p>
            <w:r>
              <w:t>Blocked</w:t>
            </w:r>
          </w:p>
        </w:tc>
      </w:tr>
      <w:tr>
        <w:tc>
          <w:tcPr>
            <w:tcW w:type="dxa" w:w="2880"/>
          </w:tcPr>
          <w:p>
            <w:r>
              <w:t>Backup validation</w:t>
            </w:r>
          </w:p>
        </w:tc>
        <w:tc>
          <w:tcPr>
            <w:tcW w:type="dxa" w:w="2880"/>
          </w:tcPr>
          <w:p>
            <w:r>
              <w:t>Security</w:t>
            </w:r>
          </w:p>
        </w:tc>
        <w:tc>
          <w:tcPr>
            <w:tcW w:type="dxa" w:w="2880"/>
          </w:tcPr>
          <w:p>
            <w:r>
              <w:t>Planned</w:t>
            </w:r>
          </w:p>
        </w:tc>
      </w:tr>
    </w:tbl>
    <w:p>
      <w:pPr>
        <w:pStyle w:val="Heading1"/>
      </w:pPr>
      <w:r>
        <w:t>FAQ</w:t>
      </w:r>
    </w:p>
    <w:p>
      <w:r>
        <w:t>We prioritize customer impact, data integrity, and regulatory alignment. Teams must log requests in Slack and track outcomes in Identity Access Gateway for audit readiness. The process integrates with Identity Access Gateway and depends on Terraform for telemetry signals.</w:t>
      </w:r>
    </w:p>
    <w:p>
      <w:pPr>
        <w:pStyle w:val="ListBullet"/>
      </w:pPr>
      <w:r>
        <w:t>Teams must log requests in Slack and track outcomes in Identity Access Gateway for audit readiness.</w:t>
      </w:r>
    </w:p>
    <w:p>
      <w:pPr>
        <w:pStyle w:val="ListBullet"/>
      </w:pPr>
      <w:r>
        <w:t>The process integrates with Identity Access Gateway and depends on Terraform for telemetry signals.</w:t>
      </w:r>
    </w:p>
    <w:p>
      <w:pPr>
        <w:pStyle w:val="ListBullet"/>
      </w:pPr>
      <w:r>
        <w:t>Teams must log requests in Slack and track outcomes in Identity Access Gateway for audit readiness.</w:t>
      </w:r>
    </w:p>
    <w:p>
      <w:pPr>
        <w:pStyle w:val="ListBullet"/>
      </w:pPr>
      <w:r>
        <w:t>All incidents are tagged with severity and mapped to service tiers.</w:t>
      </w:r>
    </w:p>
    <w:p>
      <w:pPr>
        <w:pStyle w:val="ListBullet"/>
      </w:pPr>
      <w:r>
        <w:t>Risk acceptance must be documented and revalidated each quarter.</w:t>
      </w:r>
    </w:p>
    <w:p>
      <w:pPr>
        <w:pStyle w:val="ListBullet"/>
      </w:pPr>
      <w:r>
        <w:t>Regional teams in APAC follow the same policy with localized legal review.</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Information Technology</w:t>
            </w:r>
          </w:p>
        </w:tc>
        <w:tc>
          <w:tcPr>
            <w:tcW w:type="dxa" w:w="2880"/>
          </w:tcPr>
          <w:p>
            <w:r>
              <w:t>In Progress</w:t>
            </w:r>
          </w:p>
        </w:tc>
      </w:tr>
      <w:tr>
        <w:tc>
          <w:tcPr>
            <w:tcW w:type="dxa" w:w="2880"/>
          </w:tcPr>
          <w:p>
            <w:r>
              <w:t>Incident drill</w:t>
            </w:r>
          </w:p>
        </w:tc>
        <w:tc>
          <w:tcPr>
            <w:tcW w:type="dxa" w:w="2880"/>
          </w:tcPr>
          <w:p>
            <w:r>
              <w:t>Operations</w:t>
            </w:r>
          </w:p>
        </w:tc>
        <w:tc>
          <w:tcPr>
            <w:tcW w:type="dxa" w:w="2880"/>
          </w:tcPr>
          <w:p>
            <w:r>
              <w:t>Blocked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