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Information Technology EU v1.0</w:t>
      </w:r>
    </w:p>
    <w:p>
      <w:r>
        <w:t>Department: Information Technology</w:t>
      </w:r>
    </w:p>
    <w:p>
      <w:r>
        <w:t>Author: Taylor Lee</w:t>
      </w:r>
    </w:p>
    <w:p>
      <w:r>
        <w:t>Created date: 2024-04-12</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The process integrates with Customer Data Lake and depends on PostgreSQL for telemetry signals. The Information Technology organization uses PostgreSQL to enforce consistent service baselines.</w:t>
      </w:r>
    </w:p>
    <w:p>
      <w:pPr>
        <w:pStyle w:val="ListBullet"/>
      </w:pPr>
      <w:r>
        <w:t>Evidence artifacts are retained in Google Workspace for at least 24 months.</w:t>
      </w:r>
    </w:p>
    <w:p>
      <w:pPr>
        <w:pStyle w:val="ListBullet"/>
      </w:pPr>
      <w:r>
        <w:t>This document aligns with SOX requirements and supports EU data residency expectations.</w:t>
      </w:r>
    </w:p>
    <w:p>
      <w:pPr>
        <w:pStyle w:val="ListBullet"/>
      </w:pPr>
      <w:r>
        <w:t>The process integrates with Customer Data Lake and depends on PostgreSQL for telemetry signals.</w:t>
      </w:r>
    </w:p>
    <w:p>
      <w:pPr>
        <w:pStyle w:val="ListBullet"/>
      </w:pPr>
      <w:r>
        <w:t>Regional teams in EU follow the same policy with localized legal review.</w:t>
      </w:r>
    </w:p>
    <w:p>
      <w:pPr>
        <w:pStyle w:val="ListBullet"/>
      </w:pPr>
      <w:r>
        <w:t>Risk acceptance must be documented and revalidated each quarter.</w:t>
      </w:r>
    </w:p>
    <w:p>
      <w:pPr>
        <w:pStyle w:val="Heading1"/>
      </w:pPr>
      <w:r>
        <w:t>How We Work</w:t>
      </w:r>
    </w:p>
    <w:p>
      <w:r>
        <w:t>All incidents are tagged with severity and mapped to service tiers. Teams must log requests in Google Workspace and track outcomes in Customer Data Lake for audit readiness.</w:t>
      </w:r>
    </w:p>
    <w:p>
      <w:pPr>
        <w:pStyle w:val="ListBullet"/>
      </w:pPr>
      <w:r>
        <w:t>Teams must log requests in Google Workspace and track outcomes in Customer Data Lake for audit readiness.</w:t>
      </w:r>
    </w:p>
    <w:p>
      <w:pPr>
        <w:pStyle w:val="ListBullet"/>
      </w:pPr>
      <w:r>
        <w:t>Regional teams in EU follow the same policy with localized legal review.</w:t>
      </w:r>
    </w:p>
    <w:p>
      <w:pPr>
        <w:pStyle w:val="ListBullet"/>
      </w:pPr>
      <w:r>
        <w:t>Teams must log requests in Google Workspace and track outcomes in Customer Data Lake for audit readiness.</w:t>
      </w:r>
    </w:p>
    <w:p>
      <w:pPr>
        <w:pStyle w:val="ListBullet"/>
      </w:pPr>
      <w:r>
        <w:t>We prioritize customer impact, data integrity, and regulatory alignment.</w:t>
      </w:r>
    </w:p>
    <w:p>
      <w:pPr>
        <w:pStyle w:val="ListBullet"/>
      </w:pPr>
      <w:r>
        <w:t>Systems are monitored via PostgreSQL and alert routing in Google Workspace.</w:t>
      </w:r>
    </w:p>
    <w:p>
      <w:pPr>
        <w:pStyle w:val="ListBullet"/>
      </w:pPr>
      <w:r>
        <w:t>The Information Technology organization uses PostgreSQL to enforce consistent service baselines.</w:t>
      </w:r>
    </w:p>
    <w:p>
      <w:pPr>
        <w:pStyle w:val="Heading1"/>
      </w:pPr>
      <w:r>
        <w:t>Key Contacts</w:t>
      </w:r>
    </w:p>
    <w:p>
      <w:r>
        <w:t>All changes require peer review and validation in the Customer Data Lake before production promotion. Evidence artifacts are retained in Google Workspace for at least 24 months.</w:t>
      </w:r>
    </w:p>
    <w:p>
      <w:r>
        <w:t>All changes require peer review and validation in the Customer Data Lake before production promotion. Teams must log requests in Google Workspace and track outcomes in Customer Data Lake for audit readiness. This document aligns with SOX requirements and supports EU data residency expectations.</w:t>
      </w:r>
    </w:p>
    <w:p>
      <w:pPr>
        <w:pStyle w:val="ListBullet"/>
      </w:pPr>
      <w:r>
        <w:t>All incidents are tagged with severity and mapped to service tiers.</w:t>
      </w:r>
    </w:p>
    <w:p>
      <w:pPr>
        <w:pStyle w:val="ListBullet"/>
      </w:pPr>
      <w:r>
        <w:t>The Information Technology team coordinates with Systems Engineer to maintain operational readiness.</w:t>
      </w:r>
    </w:p>
    <w:p>
      <w:pPr>
        <w:pStyle w:val="ListBullet"/>
      </w:pPr>
      <w:r>
        <w:t>The Information Technology organization uses PostgreSQL to enforce consistent service baselines.</w:t>
      </w:r>
    </w:p>
    <w:p>
      <w:pPr>
        <w:pStyle w:val="ListBullet"/>
      </w:pPr>
      <w:r>
        <w:t>All changes require peer review and validation in the Customer Data Lake before production promotion.</w:t>
      </w:r>
    </w:p>
    <w:p>
      <w:pPr>
        <w:pStyle w:val="ListBullet"/>
      </w:pPr>
      <w:r>
        <w:t>All changes require peer review and validation in the Customer Data Lake before production promotion.</w:t>
      </w:r>
    </w:p>
    <w:p>
      <w:pPr>
        <w:pStyle w:val="ListBullet"/>
      </w:pPr>
      <w:r>
        <w:t>Systems are monitored via PostgreSQL and alert routing in Google Workspace.</w:t>
      </w:r>
    </w:p>
    <w:p>
      <w:pPr>
        <w:pStyle w:val="Heading1"/>
      </w:pPr>
      <w:r>
        <w:t>Reference Links</w:t>
      </w:r>
    </w:p>
    <w:p>
      <w:r>
        <w:t>Evidence artifacts are retained in Google Workspace for at least 24 months. Risk acceptance must be documented and revalidated each quarter. The Information Technology team coordinates with Systems Engineer to maintain operational readiness.</w:t>
      </w:r>
    </w:p>
    <w:p>
      <w:r>
        <w:t>The Information Technology team coordinates with Systems Engineer to maintain operational readiness. The Information Technology team coordinates with Systems Engineer to maintain operational readiness. Systems are monitored via PostgreSQL and alert routing in Google Workspace. The Information Technology team coordinates with Systems Engineer to maintain operational readiness.</w:t>
      </w:r>
    </w:p>
    <w:p>
      <w:pPr>
        <w:pStyle w:val="ListBullet"/>
      </w:pPr>
      <w:r>
        <w:t>Risk acceptance must be documented and revalidated each quarter.</w:t>
      </w:r>
    </w:p>
    <w:p>
      <w:pPr>
        <w:pStyle w:val="ListBullet"/>
      </w:pPr>
      <w:r>
        <w:t>All changes require peer review and validation in the Customer Data Lake before production promotion.</w:t>
      </w:r>
    </w:p>
    <w:p>
      <w:pPr>
        <w:pStyle w:val="ListBullet"/>
      </w:pPr>
      <w:r>
        <w:t>All incidents are tagged with severity and mapped to service tiers.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Information Technology</w:t>
            </w:r>
          </w:p>
        </w:tc>
        <w:tc>
          <w:tcPr>
            <w:tcW w:type="dxa" w:w="2880"/>
          </w:tcPr>
          <w:p>
            <w:r>
              <w:t>Complete</w:t>
            </w:r>
          </w:p>
        </w:tc>
      </w:tr>
      <w:tr>
        <w:tc>
          <w:tcPr>
            <w:tcW w:type="dxa" w:w="2880"/>
          </w:tcPr>
          <w:p>
            <w:r>
              <w:t>Vendor check</w:t>
            </w:r>
          </w:p>
        </w:tc>
        <w:tc>
          <w:tcPr>
            <w:tcW w:type="dxa" w:w="2880"/>
          </w:tcPr>
          <w:p>
            <w:r>
              <w:t>Security</w:t>
            </w:r>
          </w:p>
        </w:tc>
        <w:tc>
          <w:tcPr>
            <w:tcW w:type="dxa" w:w="2880"/>
          </w:tcPr>
          <w:p>
            <w:r>
              <w:t>Blocked</w:t>
            </w:r>
          </w:p>
        </w:tc>
      </w:tr>
      <w:tr>
        <w:tc>
          <w:tcPr>
            <w:tcW w:type="dxa" w:w="2880"/>
          </w:tcPr>
          <w:p>
            <w:r>
              <w:t>Incident drill</w:t>
            </w:r>
          </w:p>
        </w:tc>
        <w:tc>
          <w:tcPr>
            <w:tcW w:type="dxa" w:w="2880"/>
          </w:tcPr>
          <w:p>
            <w:r>
              <w:t>Systems Engineer</w:t>
            </w:r>
          </w:p>
        </w:tc>
        <w:tc>
          <w:tcPr>
            <w:tcW w:type="dxa" w:w="2880"/>
          </w:tcPr>
          <w:p>
            <w:r>
              <w:t>Complete</w:t>
            </w:r>
          </w:p>
        </w:tc>
      </w:tr>
      <w:tr>
        <w:tc>
          <w:tcPr>
            <w:tcW w:type="dxa" w:w="2880"/>
          </w:tcPr>
          <w:p>
            <w:r>
              <w:t>Incident drill</w:t>
            </w:r>
          </w:p>
        </w:tc>
        <w:tc>
          <w:tcPr>
            <w:tcW w:type="dxa" w:w="2880"/>
          </w:tcPr>
          <w:p>
            <w:r>
              <w:t>Security</w:t>
            </w:r>
          </w:p>
        </w:tc>
        <w:tc>
          <w:tcPr>
            <w:tcW w:type="dxa" w:w="2880"/>
          </w:tcPr>
          <w:p>
            <w:r>
              <w:t>Blocked</w:t>
            </w:r>
          </w:p>
        </w:tc>
      </w:tr>
    </w:tbl>
    <w:p>
      <w:pPr>
        <w:pStyle w:val="Heading1"/>
      </w:pPr>
      <w:r>
        <w:t>FAQ</w:t>
      </w:r>
    </w:p>
    <w:p>
      <w:r>
        <w:t>All incidents are tagged with severity and mapped to service tiers. Stakeholders include the Systems Engineer, service owner, and compliance lead for approvals. All incidents are tagged with severity and mapped to service tiers. Evidence artifacts are retained in Google Workspace for at least 24 months.</w:t>
      </w:r>
    </w:p>
    <w:p>
      <w:pPr>
        <w:pStyle w:val="ListBullet"/>
      </w:pPr>
      <w:r>
        <w:t>We prioritize customer impact, data integrity, and regulatory alignment.</w:t>
      </w:r>
    </w:p>
    <w:p>
      <w:pPr>
        <w:pStyle w:val="ListBullet"/>
      </w:pPr>
      <w:r>
        <w:t>Systems are monitored via PostgreSQL and alert routing in Google Workspace.</w:t>
      </w:r>
    </w:p>
    <w:p>
      <w:pPr>
        <w:pStyle w:val="ListBullet"/>
      </w:pPr>
      <w:r>
        <w:t>Evidence artifacts are retained in Google Workspace for at least 24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