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Legal EU v1.0</w:t>
      </w:r>
    </w:p>
    <w:p>
      <w:r>
        <w:t>Department: Legal</w:t>
      </w:r>
    </w:p>
    <w:p>
      <w:r>
        <w:t>Author: Avery Garcia</w:t>
      </w:r>
    </w:p>
    <w:p>
      <w:r>
        <w:t>Created date: 2024-03-06</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Systems are monitored via ServiceNow and alert routing in GitHub Enterprise. The Legal organization uses ServiceNow to enforce consistent service baselines.</w:t>
      </w:r>
    </w:p>
    <w:p>
      <w:r>
        <w:t>Systems are monitored via ServiceNow and alert routing in GitHub Enterprise. Regional teams in EU follow the same policy with localized legal review. The process integrates with Document Repository and depends on ServiceNow for telemetry signals. The process integrates with Document Repository and depends on ServiceNow for telemetry signals.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SRE</w:t>
            </w:r>
          </w:p>
        </w:tc>
        <w:tc>
          <w:tcPr>
            <w:tcW w:type="dxa" w:w="2880"/>
          </w:tcPr>
          <w:p>
            <w:r>
              <w:t>In Progress</w:t>
            </w:r>
          </w:p>
        </w:tc>
      </w:tr>
      <w:tr>
        <w:tc>
          <w:tcPr>
            <w:tcW w:type="dxa" w:w="2880"/>
          </w:tcPr>
          <w:p>
            <w:r>
              <w:t>Incident drill</w:t>
            </w:r>
          </w:p>
        </w:tc>
        <w:tc>
          <w:tcPr>
            <w:tcW w:type="dxa" w:w="2880"/>
          </w:tcPr>
          <w:p>
            <w:r>
              <w:t>Legal</w:t>
            </w:r>
          </w:p>
        </w:tc>
        <w:tc>
          <w:tcPr>
            <w:tcW w:type="dxa" w:w="2880"/>
          </w:tcPr>
          <w:p>
            <w:r>
              <w:t>Planned</w:t>
            </w:r>
          </w:p>
        </w:tc>
      </w:tr>
      <w:tr>
        <w:tc>
          <w:tcPr>
            <w:tcW w:type="dxa" w:w="2880"/>
          </w:tcPr>
          <w:p>
            <w:r>
              <w:t>Access review</w:t>
            </w:r>
          </w:p>
        </w:tc>
        <w:tc>
          <w:tcPr>
            <w:tcW w:type="dxa" w:w="2880"/>
          </w:tcPr>
          <w:p>
            <w:r>
              <w:t>Legal</w:t>
            </w:r>
          </w:p>
        </w:tc>
        <w:tc>
          <w:tcPr>
            <w:tcW w:type="dxa" w:w="2880"/>
          </w:tcPr>
          <w:p>
            <w:r>
              <w:t>Planned</w:t>
            </w:r>
          </w:p>
        </w:tc>
      </w:tr>
      <w:tr>
        <w:tc>
          <w:tcPr>
            <w:tcW w:type="dxa" w:w="2880"/>
          </w:tcPr>
          <w:p>
            <w:r>
              <w:t>Access review</w:t>
            </w:r>
          </w:p>
        </w:tc>
        <w:tc>
          <w:tcPr>
            <w:tcW w:type="dxa" w:w="2880"/>
          </w:tcPr>
          <w:p>
            <w:r>
              <w:t>SRE</w:t>
            </w:r>
          </w:p>
        </w:tc>
        <w:tc>
          <w:tcPr>
            <w:tcW w:type="dxa" w:w="2880"/>
          </w:tcPr>
          <w:p>
            <w:r>
              <w:t>Planned</w:t>
            </w:r>
          </w:p>
        </w:tc>
      </w:tr>
    </w:tbl>
    <w:p>
      <w:pPr>
        <w:pStyle w:val="Heading1"/>
      </w:pPr>
      <w:r>
        <w:t>How We Work</w:t>
      </w:r>
    </w:p>
    <w:p>
      <w:r>
        <w:t>Escalations should follow the on-call rotation with a response target of 15 minutes. All changes require peer review and validation in the Document Repository before production promotion.</w:t>
      </w:r>
    </w:p>
    <w:p>
      <w:r>
        <w:t>This document aligns with HIPAA requirements and supports EU data residency expectations. We prioritize customer impact, data integrity, and regulatory alignment. The Legal team coordinates with SRE to maintain operational readiness.</w:t>
      </w:r>
    </w:p>
    <w:p>
      <w:pPr>
        <w:pStyle w:val="ListBullet"/>
      </w:pPr>
      <w:r>
        <w:t>Stakeholders include the SRE, service owner, and compliance lead for approvals.</w:t>
      </w:r>
    </w:p>
    <w:p>
      <w:pPr>
        <w:pStyle w:val="ListBullet"/>
      </w:pPr>
      <w:r>
        <w:t>Evidence artifacts are retained in GitHub Enterprise for at least 18 months.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Legal team coordinates with SRE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SRE</w:t>
            </w:r>
          </w:p>
        </w:tc>
        <w:tc>
          <w:tcPr>
            <w:tcW w:type="dxa" w:w="2880"/>
          </w:tcPr>
          <w:p>
            <w:r>
              <w:t>Blocked</w:t>
            </w:r>
          </w:p>
        </w:tc>
      </w:tr>
      <w:tr>
        <w:tc>
          <w:tcPr>
            <w:tcW w:type="dxa" w:w="2880"/>
          </w:tcPr>
          <w:p>
            <w:r>
              <w:t>Incident drill</w:t>
            </w:r>
          </w:p>
        </w:tc>
        <w:tc>
          <w:tcPr>
            <w:tcW w:type="dxa" w:w="2880"/>
          </w:tcPr>
          <w:p>
            <w:r>
              <w:t>SRE</w:t>
            </w:r>
          </w:p>
        </w:tc>
        <w:tc>
          <w:tcPr>
            <w:tcW w:type="dxa" w:w="2880"/>
          </w:tcPr>
          <w:p>
            <w:r>
              <w:t>In Progress</w:t>
            </w:r>
          </w:p>
        </w:tc>
      </w:tr>
    </w:tbl>
    <w:p>
      <w:pPr>
        <w:pStyle w:val="Heading1"/>
      </w:pPr>
      <w:r>
        <w:t>Key Contacts</w:t>
      </w:r>
    </w:p>
    <w:p>
      <w:r>
        <w:t>Systems are monitored via ServiceNow and alert routing in GitHub Enterprise. All changes require peer review and validation in the Document Repository before production promotion. Systems are monitored via ServiceNow and alert routing in GitHub Enterprise. Stakeholders include the SRE, service owner, and compliance lead for approvals.</w:t>
      </w:r>
    </w:p>
    <w:p>
      <w:pPr>
        <w:pStyle w:val="ListBullet"/>
      </w:pPr>
      <w:r>
        <w:t>This document aligns with HIPAA requirements and supports EU data residency expectations.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The Legal team coordinates with SRE to maintain operational readiness.</w:t>
      </w:r>
    </w:p>
    <w:p>
      <w:pPr>
        <w:pStyle w:val="Heading1"/>
      </w:pPr>
      <w:r>
        <w:t>Reference Links</w:t>
      </w:r>
    </w:p>
    <w:p>
      <w:r>
        <w:t>The Legal organization uses ServiceNow to enforce consistent service baselines. All changes require peer review and validation in the Document Repository before production promotion.</w:t>
      </w:r>
    </w:p>
    <w:p>
      <w:r>
        <w:t>Systems are monitored via ServiceNow and alert routing in GitHub Enterprise. Teams must log requests in GitHub Enterprise and track outcomes in Document Repository for audit readiness.</w:t>
      </w:r>
    </w:p>
    <w:p>
      <w:pPr>
        <w:pStyle w:val="ListBullet"/>
      </w:pPr>
      <w:r>
        <w:t>Regional teams in EU follow the same policy with localized legal review.</w:t>
      </w:r>
    </w:p>
    <w:p>
      <w:pPr>
        <w:pStyle w:val="ListBullet"/>
      </w:pPr>
      <w:r>
        <w:t>All changes require peer review and validation in the Document Repository before production promotion.</w:t>
      </w:r>
    </w:p>
    <w:p>
      <w:pPr>
        <w:pStyle w:val="ListBullet"/>
      </w:pPr>
      <w:r>
        <w:t>The process integrates with Document Repository and depends on ServiceNow for telemetry signals.</w:t>
      </w:r>
    </w:p>
    <w:p>
      <w:pPr>
        <w:pStyle w:val="ListBullet"/>
      </w:pPr>
      <w:r>
        <w:t>Systems are monitored via ServiceNow and alert routing in GitHub Enterprise.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SRE</w:t>
            </w:r>
          </w:p>
        </w:tc>
        <w:tc>
          <w:tcPr>
            <w:tcW w:type="dxa" w:w="2880"/>
          </w:tcPr>
          <w:p>
            <w:r>
              <w:t>In Progress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In Progress</w:t>
            </w:r>
          </w:p>
        </w:tc>
      </w:tr>
    </w:tbl>
    <w:p>
      <w:pPr>
        <w:pStyle w:val="Heading1"/>
      </w:pPr>
      <w:r>
        <w:t>FAQ</w:t>
      </w:r>
    </w:p>
    <w:p>
      <w:r>
        <w:t>Risk acceptance must be documented and revalidated each quarter. The process integrates with Document Repository and depends on ServiceNow for telemetry signals. This document aligns with HIPAA requirements and supports EU data residency expectations.</w:t>
      </w:r>
    </w:p>
    <w:p>
      <w:pPr>
        <w:pStyle w:val="ListBullet"/>
      </w:pPr>
      <w:r>
        <w:t>The process integrates with Document Repository and depends on ServiceNow for telemetry signals.</w:t>
      </w:r>
    </w:p>
    <w:p>
      <w:pPr>
        <w:pStyle w:val="ListBullet"/>
      </w:pPr>
      <w:r>
        <w:t>Stakeholders include the SRE, service owner, and compliance lead for approvals.</w:t>
      </w:r>
    </w:p>
    <w:p>
      <w:pPr>
        <w:pStyle w:val="ListBullet"/>
      </w:pPr>
      <w:r>
        <w:t>Regional teams in EU follow the same policy with localized legal review.</w:t>
      </w:r>
    </w:p>
    <w:p>
      <w:pPr>
        <w:pStyle w:val="ListBullet"/>
      </w:pPr>
      <w:r>
        <w:t>The process integrates with Document Repository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SRE</w:t>
            </w:r>
          </w:p>
        </w:tc>
        <w:tc>
          <w:tcPr>
            <w:tcW w:type="dxa" w:w="2880"/>
          </w:tcPr>
          <w:p>
            <w:r>
              <w:t>In Progress</w:t>
            </w:r>
          </w:p>
        </w:tc>
      </w:tr>
      <w:tr>
        <w:tc>
          <w:tcPr>
            <w:tcW w:type="dxa" w:w="2880"/>
          </w:tcPr>
          <w:p>
            <w:r>
              <w:t>Access review</w:t>
            </w:r>
          </w:p>
        </w:tc>
        <w:tc>
          <w:tcPr>
            <w:tcW w:type="dxa" w:w="2880"/>
          </w:tcPr>
          <w:p>
            <w:r>
              <w:t>SRE</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