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Legal US v1.0</w:t>
      </w:r>
    </w:p>
    <w:p>
      <w:r>
        <w:t>Department: Legal</w:t>
      </w:r>
    </w:p>
    <w:p>
      <w:r>
        <w:t>Author: Avery Garcia</w:t>
      </w:r>
    </w:p>
    <w:p>
      <w:r>
        <w:t>Created date: 2025-04-11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Systems are monitored via AWS and alert routing in Confluence. Systems are monitored via AWS and alert routing in Confluence.</w:t>
      </w:r>
    </w:p>
    <w:p>
      <w:pPr>
        <w:pStyle w:val="ListBullet"/>
      </w:pPr>
      <w:r>
        <w:t>Regional teams in US follow the same policy with localized legal review.</w:t>
      </w:r>
    </w:p>
    <w:p>
      <w:pPr>
        <w:pStyle w:val="ListBullet"/>
      </w:pPr>
      <w:r>
        <w:t>All changes require peer review and validation in the Document Repository before production promotion.</w:t>
      </w:r>
    </w:p>
    <w:p>
      <w:pPr>
        <w:pStyle w:val="ListBullet"/>
      </w:pPr>
      <w:r>
        <w:t>Teams must log requests in Confluence and track outcomes in Document Repository for audit readiness.</w:t>
      </w:r>
    </w:p>
    <w:p>
      <w:pPr>
        <w:pStyle w:val="ListBullet"/>
      </w:pPr>
      <w:r>
        <w:t>Teams must log requests in Confluence and track outcomes in Document Repository for audit readiness.</w:t>
      </w:r>
    </w:p>
    <w:p>
      <w:pPr>
        <w:pStyle w:val="ListBullet"/>
      </w:pPr>
      <w:r>
        <w:t>Evidence artifacts are retained in Confluence for at least 12 months.</w:t>
      </w:r>
    </w:p>
    <w:p>
      <w:pPr>
        <w:pStyle w:val="Heading1"/>
      </w:pPr>
      <w:r>
        <w:t>How We Work</w:t>
      </w:r>
    </w:p>
    <w:p>
      <w:r>
        <w:t>Evidence artifacts are retained in Confluence for at least 12 months. Stakeholders include the Support Specialist, service owner, and compliance lead for approvals. Risk acceptance must be documented and revalidated each quarter.</w:t>
      </w:r>
    </w:p>
    <w:p>
      <w:r>
        <w:t>Stakeholders include the Support Specialist, service owner, and compliance lead for approvals. All changes require peer review and validation in the Document Repository before production promotion.</w:t>
      </w:r>
    </w:p>
    <w:p>
      <w:pPr>
        <w:pStyle w:val="ListBullet"/>
      </w:pPr>
      <w:r>
        <w:t>Teams must log requests in Confluence and track outcomes in Document Repository for audit readiness.</w:t>
      </w:r>
    </w:p>
    <w:p>
      <w:pPr>
        <w:pStyle w:val="ListBullet"/>
      </w:pPr>
      <w:r>
        <w:t>Teams must log requests in Confluence and track outcomes in Document Repository for audit readiness.</w:t>
      </w:r>
    </w:p>
    <w:p>
      <w:pPr>
        <w:pStyle w:val="ListBullet"/>
      </w:pPr>
      <w:r>
        <w:t>Teams must log requests in Confluence and track outcomes in Document Repository for audit readiness.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Evidence artifacts are retained in Confluence for at least 12 months.</w:t>
      </w:r>
    </w:p>
    <w:p>
      <w:pPr>
        <w:pStyle w:val="Heading1"/>
      </w:pPr>
      <w:r>
        <w:t>Key Contacts</w:t>
      </w:r>
    </w:p>
    <w:p>
      <w:r>
        <w:t>Evidence artifacts are retained in Confluence for at least 12 months. The Legal organization uses AWS to enforce consistent service baselines. We prioritize customer impact, data integrity, and regulatory alignment.</w:t>
      </w:r>
    </w:p>
    <w:p>
      <w:pPr>
        <w:pStyle w:val="ListBullet"/>
      </w:pPr>
      <w:r>
        <w:t>The Legal team coordinates with Support Specialist to maintain operational readiness.</w:t>
      </w:r>
    </w:p>
    <w:p>
      <w:pPr>
        <w:pStyle w:val="ListBullet"/>
      </w:pPr>
      <w:r>
        <w:t>Systems are monitored via AWS and alert routing in Confluence.</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Heading1"/>
      </w:pPr>
      <w:r>
        <w:t>Reference Links</w:t>
      </w:r>
    </w:p>
    <w:p>
      <w:r>
        <w:t>Teams must log requests in Confluence and track outcomes in Document Repository for audit readiness. Regional teams in US follow the same policy with localized legal review.</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Regional teams in US follow the same policy with localized legal review.</w:t>
      </w:r>
    </w:p>
    <w:p>
      <w:pPr>
        <w:pStyle w:val="ListBullet"/>
      </w:pPr>
      <w:r>
        <w:t>This document aligns with PCI DSS requirements and supports US data residency expectations.</w:t>
      </w:r>
    </w:p>
    <w:p>
      <w:pPr>
        <w:pStyle w:val="Heading1"/>
      </w:pPr>
      <w:r>
        <w:t>FAQ</w:t>
      </w:r>
    </w:p>
    <w:p>
      <w:r>
        <w:t>Risk acceptance must be documented and revalidated each quarter. Evidence artifacts are retained in Confluence for at least 12 months. Evidence artifacts are retained in Confluence for at least 12 months.</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ListBullet"/>
      </w:pPr>
      <w:r>
        <w:t>The Legal organization uses AWS to enforce consistent service baselines.</w:t>
      </w:r>
    </w:p>
    <w:p>
      <w:pPr>
        <w:pStyle w:val="ListBullet"/>
      </w:pPr>
      <w:r>
        <w:t>All changes require peer review and validation in the Document Repository before production promotion.</w:t>
      </w:r>
    </w:p>
    <w:p>
      <w:pPr>
        <w:pStyle w:val="ListBullet"/>
      </w:pPr>
      <w:r>
        <w:t>All changes require peer review and validation in the Document Repository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