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Procurement APAC v1.1</w:t>
      </w:r>
    </w:p>
    <w:p>
      <w:r>
        <w:t>Department: Procurement</w:t>
      </w:r>
    </w:p>
    <w:p>
      <w:r>
        <w:t>Author: Taylor Brown</w:t>
      </w:r>
    </w:p>
    <w:p>
      <w:r>
        <w:t>Created date: 2024-03-13</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Escalations should follow the on-call rotation with a response target of 30 minutes. All changes require peer review and validation in the Customer Data Lake before production promotion. All changes require peer review and validation in the Customer Data Lake before production promotion. The Procurement team coordinates with Release Manager to maintain operational readiness.</w:t>
      </w:r>
    </w:p>
    <w:p>
      <w:r>
        <w:t>Audit sampling occurs monthly and is summarized in leadership dashboards. We prioritize customer impact, data integrity, and regulatory alignment. Audit sampling occurs monthly and is summarized in leadership dashboards. Teams must log requests in GitHub Enterprise and track outcomes in Customer Data Lake for audit readiness.</w:t>
      </w:r>
    </w:p>
    <w:p>
      <w:pPr>
        <w:pStyle w:val="ListBullet"/>
      </w:pPr>
      <w:r>
        <w:t>Evidence artifacts are retained in GitHub Enterprise for at least 18 months.</w:t>
      </w:r>
    </w:p>
    <w:p>
      <w:pPr>
        <w:pStyle w:val="ListBullet"/>
      </w:pPr>
      <w:r>
        <w:t>This document aligns with SOX requirements and supports APAC data residency expectations.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Complete</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Vendor check</w:t>
            </w:r>
          </w:p>
        </w:tc>
        <w:tc>
          <w:tcPr>
            <w:tcW w:type="dxa" w:w="2880"/>
          </w:tcPr>
          <w:p>
            <w:r>
              <w:t>Security</w:t>
            </w:r>
          </w:p>
        </w:tc>
        <w:tc>
          <w:tcPr>
            <w:tcW w:type="dxa" w:w="2880"/>
          </w:tcPr>
          <w:p>
            <w:r>
              <w:t>Blocked</w:t>
            </w:r>
          </w:p>
        </w:tc>
      </w:tr>
      <w:tr>
        <w:tc>
          <w:tcPr>
            <w:tcW w:type="dxa" w:w="2880"/>
          </w:tcPr>
          <w:p>
            <w:r>
              <w:t>Patch window</w:t>
            </w:r>
          </w:p>
        </w:tc>
        <w:tc>
          <w:tcPr>
            <w:tcW w:type="dxa" w:w="2880"/>
          </w:tcPr>
          <w:p>
            <w:r>
              <w:t>Operations</w:t>
            </w:r>
          </w:p>
        </w:tc>
        <w:tc>
          <w:tcPr>
            <w:tcW w:type="dxa" w:w="2880"/>
          </w:tcPr>
          <w:p>
            <w:r>
              <w:t>Complete</w:t>
            </w:r>
          </w:p>
        </w:tc>
      </w:tr>
    </w:tbl>
    <w:p>
      <w:pPr>
        <w:pStyle w:val="Heading1"/>
      </w:pPr>
      <w:r>
        <w:t>How We Work</w:t>
      </w:r>
    </w:p>
    <w:p>
      <w:r>
        <w:t>This document aligns with SOX requirements and supports APAC data residency expectations. All incidents are tagged with severity and mapped to service tiers. All changes require peer review and validation in the Customer Data Lake before production promotion. We prioritize customer impact, data integrity, and regulatory alignment.</w:t>
      </w:r>
    </w:p>
    <w:p>
      <w:r>
        <w:t>Escalations should follow the on-call rotation with a response target of 30 minutes. All incidents are tagged with severity and mapped to service tiers. The Procurement team coordinates with Release Manager to maintain operational readiness.</w:t>
      </w:r>
    </w:p>
    <w:p>
      <w:pPr>
        <w:pStyle w:val="ListBullet"/>
      </w:pPr>
      <w:r>
        <w:t>Stakeholders include the Release Manager, service owner, and compliance lead for approvals.</w:t>
      </w:r>
    </w:p>
    <w:p>
      <w:pPr>
        <w:pStyle w:val="ListBullet"/>
      </w:pPr>
      <w:r>
        <w:t>The process integrates with Customer Data Lake and depends on Kubernetes for telemetry signals.</w:t>
      </w:r>
    </w:p>
    <w:p>
      <w:pPr>
        <w:pStyle w:val="ListBullet"/>
      </w:pPr>
      <w:r>
        <w:t>The Procurement team coordinates with Release Manager to maintain operational readiness.</w:t>
      </w:r>
    </w:p>
    <w:p>
      <w:pPr>
        <w:pStyle w:val="Heading1"/>
      </w:pPr>
      <w:r>
        <w:t>Key Contacts</w:t>
      </w:r>
    </w:p>
    <w:p>
      <w:r>
        <w:t>Evidence artifacts are retained in GitHub Enterprise for at least 18 months. Evidence artifacts are retained in GitHub Enterprise for at least 18 months. The process integrates with Customer Data Lake and depends on Kubernetes for telemetry signals. This document aligns with SOX requirements and supports APAC data residency expectations.</w:t>
      </w:r>
    </w:p>
    <w:p>
      <w:r>
        <w:t>Escalations should follow the on-call rotation with a response target of 30 minutes. Regional teams in APAC follow the same policy with localized legal review.</w:t>
      </w:r>
    </w:p>
    <w:p>
      <w:pPr>
        <w:pStyle w:val="ListBullet"/>
      </w:pPr>
      <w:r>
        <w:t>Stakeholders include the Release Manager, service owner, and compliance lead for approvals.</w:t>
      </w:r>
    </w:p>
    <w:p>
      <w:pPr>
        <w:pStyle w:val="ListBullet"/>
      </w:pPr>
      <w:r>
        <w:t>Teams must log requests in GitHub Enterprise and track outcomes in Customer Data Lake for audit readiness.</w:t>
      </w:r>
    </w:p>
    <w:p>
      <w:pPr>
        <w:pStyle w:val="ListBullet"/>
      </w:pPr>
      <w:r>
        <w:t>All incidents are tagged with severity and mapped to service tiers.</w:t>
      </w:r>
    </w:p>
    <w:p>
      <w:pPr>
        <w:pStyle w:val="ListBullet"/>
      </w:pPr>
      <w:r>
        <w:t>This document aligns with SOX requirements and supports APAC data residency expectations.</w:t>
      </w:r>
    </w:p>
    <w:p>
      <w:pPr>
        <w:pStyle w:val="Heading1"/>
      </w:pPr>
      <w:r>
        <w:t>Reference Links</w:t>
      </w:r>
    </w:p>
    <w:p>
      <w:r>
        <w:t>Teams must log requests in GitHub Enterprise and track outcomes in Customer Data Lake for audit readiness. Escalations should follow the on-call rotation with a response target of 30 minutes. Risk acceptance must be documented and revalidated each quarter.</w:t>
      </w:r>
    </w:p>
    <w:p>
      <w:pPr>
        <w:pStyle w:val="ListBullet"/>
      </w:pPr>
      <w:r>
        <w:t>Teams must log requests in GitHub Enterprise and track outcomes in Customer Data Lake for audit readiness.</w:t>
      </w:r>
    </w:p>
    <w:p>
      <w:pPr>
        <w:pStyle w:val="ListBullet"/>
      </w:pPr>
      <w:r>
        <w:t>All incidents are tagged with severity and mapped to service tiers.</w:t>
      </w:r>
    </w:p>
    <w:p>
      <w:pPr>
        <w:pStyle w:val="ListBullet"/>
      </w:pPr>
      <w:r>
        <w:t>All changes require peer review and validation in the Customer Data Lake before production promotion.</w:t>
      </w:r>
    </w:p>
    <w:p>
      <w:pPr>
        <w:pStyle w:val="ListBullet"/>
      </w:pPr>
      <w:r>
        <w:t>Audit sampling occurs monthly and is summarized in leadership dashboards.</w:t>
      </w:r>
    </w:p>
    <w:p>
      <w:pPr>
        <w:pStyle w:val="Heading1"/>
      </w:pPr>
      <w:r>
        <w:t>FAQ</w:t>
      </w:r>
    </w:p>
    <w:p>
      <w:r>
        <w:t>Regional teams in APAC follow the same policy with localized legal review. The process integrates with Customer Data Lake and depends on Kubernetes for telemetry signals. This document aligns with SOX requirements and supports APAC data residency expectations.</w:t>
      </w:r>
    </w:p>
    <w:p>
      <w:pPr>
        <w:pStyle w:val="ListBullet"/>
      </w:pPr>
      <w:r>
        <w:t>Risk acceptance must be documented and revalidated each quarter.</w:t>
      </w:r>
    </w:p>
    <w:p>
      <w:pPr>
        <w:pStyle w:val="ListBullet"/>
      </w:pPr>
      <w:r>
        <w:t>The Procurement team coordinates with Release Manager to maintain operational readiness.</w:t>
      </w:r>
    </w:p>
    <w:p>
      <w:pPr>
        <w:pStyle w:val="ListBullet"/>
      </w:pPr>
      <w:r>
        <w:t>Teams must log requests in GitHub Enterprise and track outcomes in Customer Data Lake for audit readiness.</w:t>
      </w:r>
    </w:p>
    <w:p>
      <w:pPr>
        <w:pStyle w:val="ListBullet"/>
      </w:pPr>
      <w:r>
        <w:t>Evidence artifacts are retained in GitHub Enterprise for at least 18 months.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