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Security APAC v1.1</w:t>
      </w:r>
    </w:p>
    <w:p>
      <w:r>
        <w:t>Department: Security</w:t>
      </w:r>
    </w:p>
    <w:p>
      <w:r>
        <w:t>Author: Casey Smith</w:t>
      </w:r>
    </w:p>
    <w:p>
      <w:r>
        <w:t>Created date: 2024-08-25</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Regional teams in APAC follow the same policy with localized legal review. Escalations should follow the on-call rotation with a response target of 15 minutes.</w:t>
      </w:r>
    </w:p>
    <w:p>
      <w:r>
        <w:t>Risk acceptance must be documented and revalidated each quarter. Systems are monitored via ServiceNow and alert routing in SAP.</w:t>
      </w:r>
    </w:p>
    <w:p>
      <w:pPr>
        <w:pStyle w:val="ListBullet"/>
      </w:pPr>
      <w:r>
        <w:t>Evidence artifacts are retained in SAP for at least 12 months.</w:t>
      </w:r>
    </w:p>
    <w:p>
      <w:pPr>
        <w:pStyle w:val="ListBullet"/>
      </w:pPr>
      <w:r>
        <w:t>The Security team coordinates with Support Specialist to maintain operational readiness.</w:t>
      </w:r>
    </w:p>
    <w:p>
      <w:pPr>
        <w:pStyle w:val="ListBullet"/>
      </w:pPr>
      <w:r>
        <w:t>All incidents are tagged with severity and mapped to service tiers.</w:t>
      </w:r>
    </w:p>
    <w:p>
      <w:pPr>
        <w:pStyle w:val="ListBullet"/>
      </w:pPr>
      <w:r>
        <w:t>All changes require peer review and validation in the Document Repository before production promotion.</w:t>
      </w:r>
    </w:p>
    <w:p>
      <w:pPr>
        <w:pStyle w:val="ListBullet"/>
      </w:pPr>
      <w:r>
        <w:t>The process integrates with Document Repository and depends on ServiceNow for telemetry signals.</w:t>
      </w:r>
    </w:p>
    <w:p>
      <w:pPr>
        <w:pStyle w:val="ListBullet"/>
      </w:pPr>
      <w:r>
        <w:t>Escalations should follow the on-call rotation with a response target of 15 minutes.</w:t>
      </w:r>
    </w:p>
    <w:p>
      <w:pPr>
        <w:pStyle w:val="Heading1"/>
      </w:pPr>
      <w:r>
        <w:t>How We Work</w:t>
      </w:r>
    </w:p>
    <w:p>
      <w:r>
        <w:t>Systems are monitored via ServiceNow and alert routing in SAP. This document aligns with SOC 2 requirements and supports APAC data residency expectations. Audit sampling occurs monthly and is summarized in leadership dashboards. The Security organization uses ServiceNow to enforce consistent service baselines.</w:t>
      </w:r>
    </w:p>
    <w:p>
      <w:r>
        <w:t>All changes require peer review and validation in the Document Repository before production promotion. Teams must log requests in SAP and track outcomes in Document Repository for audit readiness. The process integrates with Document Repository and depends on ServiceNow for telemetry signals.</w:t>
      </w:r>
    </w:p>
    <w:p>
      <w:pPr>
        <w:pStyle w:val="ListBullet"/>
      </w:pPr>
      <w:r>
        <w:t>Escalations should follow the on-call rotation with a response target of 15 minutes.</w:t>
      </w:r>
    </w:p>
    <w:p>
      <w:pPr>
        <w:pStyle w:val="ListBullet"/>
      </w:pPr>
      <w:r>
        <w:t>The process integrates with Document Repository and depends on ServiceNow for telemetry signals.</w:t>
      </w:r>
    </w:p>
    <w:p>
      <w:pPr>
        <w:pStyle w:val="ListBullet"/>
      </w:pPr>
      <w:r>
        <w:t>The Security organization uses ServiceNow to enforce consistent service baselines.</w:t>
      </w:r>
    </w:p>
    <w:p>
      <w:pPr>
        <w:pStyle w:val="ListBullet"/>
      </w:pPr>
      <w:r>
        <w:t>The Security organization uses ServiceNow to enforce consistent service baselines.</w:t>
      </w:r>
    </w:p>
    <w:p>
      <w:pPr>
        <w:pStyle w:val="Heading1"/>
      </w:pPr>
      <w:r>
        <w:t>Key Contacts</w:t>
      </w:r>
    </w:p>
    <w:p>
      <w:r>
        <w:t>The process integrates with Document Repository and depends on ServiceNow for telemetry signals. Evidence artifacts are retained in SAP for at least 12 months. Stakeholders include the Support Specialist, service owner, and compliance lead for approvals.</w:t>
      </w:r>
    </w:p>
    <w:p>
      <w:pPr>
        <w:pStyle w:val="ListBullet"/>
      </w:pPr>
      <w:r>
        <w:t>The Security team coordinates with Support Specialist to maintain operational readiness.</w:t>
      </w:r>
    </w:p>
    <w:p>
      <w:pPr>
        <w:pStyle w:val="ListBullet"/>
      </w:pPr>
      <w:r>
        <w:t>We prioritize customer impact, data integrity, and regulatory alignment.</w:t>
      </w:r>
    </w:p>
    <w:p>
      <w:pPr>
        <w:pStyle w:val="ListBullet"/>
      </w:pPr>
      <w:r>
        <w:t>Evidence artifacts are retained in SAP for at least 12 months.</w:t>
      </w:r>
    </w:p>
    <w:p>
      <w:pPr>
        <w:pStyle w:val="ListBullet"/>
      </w:pPr>
      <w:r>
        <w:t>This document aligns with SOC 2 requirements and supports APAC data residency expectations.</w:t>
      </w:r>
    </w:p>
    <w:p>
      <w:pPr>
        <w:pStyle w:val="ListBullet"/>
      </w:pPr>
      <w:r>
        <w:t>Risk acceptance must be documented and revalidated each quarter.</w:t>
      </w:r>
    </w:p>
    <w:p>
      <w:pPr>
        <w:pStyle w:val="ListBullet"/>
      </w:pPr>
      <w:r>
        <w:t>Teams must log requests in SAP and track outcomes in Document Repository for audit readiness.</w:t>
      </w:r>
    </w:p>
    <w:p>
      <w:pPr>
        <w:pStyle w:val="Heading1"/>
      </w:pPr>
      <w:r>
        <w:t>Reference Links</w:t>
      </w:r>
    </w:p>
    <w:p>
      <w:r>
        <w:t>Escalations should follow the on-call rotation with a response target of 15 minutes. The Security organization uses ServiceNow to enforce consistent service baselines.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This document aligns with SOC 2 requirements and supports APAC data residency expectations.</w:t>
      </w:r>
    </w:p>
    <w:p>
      <w:pPr>
        <w:pStyle w:val="Heading1"/>
      </w:pPr>
      <w:r>
        <w:t>FAQ</w:t>
      </w:r>
    </w:p>
    <w:p>
      <w:r>
        <w:t>We prioritize customer impact, data integrity, and regulatory alignment. All incidents are tagged with severity and mapped to service tiers. Regional teams in APAC follow the same policy with localized legal review. Stakeholders include the Support Specialist, service owner, and compliance lead for approvals.</w:t>
      </w:r>
    </w:p>
    <w:p>
      <w:r>
        <w:t>Systems are monitored via ServiceNow and alert routing in SAP. Audit sampling occurs monthly and is summarized in leadership dashboards.</w:t>
      </w:r>
    </w:p>
    <w:p>
      <w:pPr>
        <w:pStyle w:val="ListBullet"/>
      </w:pPr>
      <w:r>
        <w:t>Evidence artifacts are retained in SAP for at least 12 months.</w:t>
      </w:r>
    </w:p>
    <w:p>
      <w:pPr>
        <w:pStyle w:val="ListBullet"/>
      </w:pPr>
      <w:r>
        <w:t>Escalations should follow the on-call rotation with a response target of 15 minutes.</w:t>
      </w:r>
    </w:p>
    <w:p>
      <w:pPr>
        <w:pStyle w:val="ListBullet"/>
      </w:pPr>
      <w:r>
        <w:t>Teams must log requests in SAP and track outcomes in Document Repository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