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Cloud Infrastructure US v3.0</w:t>
      </w:r>
    </w:p>
    <w:p>
      <w:r>
        <w:t>Department: Cloud Infrastructure</w:t>
      </w:r>
    </w:p>
    <w:p>
      <w:r>
        <w:t>Author: Taylor Lee</w:t>
      </w:r>
    </w:p>
    <w:p>
      <w:r>
        <w:t>Created date: 2024-08-16</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Evidence artifacts are retained in Microsoft 365 for at least 18 months. Evidence artifacts are retained in Microsoft 365 for at least 18 months. Evidence artifacts are retained in Microsoft 365 for at least 18 months.</w:t>
      </w:r>
    </w:p>
    <w:p>
      <w:pPr>
        <w:pStyle w:val="ListBullet"/>
      </w:pPr>
      <w:r>
        <w:t>All incidents are tagged with severity and mapped to service tiers.</w:t>
      </w:r>
    </w:p>
    <w:p>
      <w:pPr>
        <w:pStyle w:val="ListBullet"/>
      </w:pPr>
      <w:r>
        <w:t>Audit sampling occurs monthly and is summarized in leadership dashboards.</w:t>
      </w:r>
    </w:p>
    <w:p>
      <w:pPr>
        <w:pStyle w:val="ListBullet"/>
      </w:pPr>
      <w:r>
        <w:t>All changes require peer review and validation in the Monitoring Stack before production promotion.</w:t>
      </w:r>
    </w:p>
    <w:p>
      <w:pPr>
        <w:pStyle w:val="ListBullet"/>
      </w:pPr>
      <w:r>
        <w:t>Evidence artifacts are retained in Microsoft 365 for at least 18 months.</w:t>
      </w:r>
    </w:p>
    <w:p>
      <w:pPr>
        <w:pStyle w:val="Heading1"/>
      </w:pPr>
      <w:r>
        <w:t>Agenda</w:t>
      </w:r>
    </w:p>
    <w:p>
      <w:r>
        <w:t>The Cloud Infrastructure organization uses Vault to enforce consistent service baselines. Systems are monitored via Vault and alert routing in Microsoft 365. Stakeholders include the Procurement Lead, service owner, and compliance lead for approvals. Escalations should follow the on-call rotation with a response target of 45 minutes.</w:t>
      </w:r>
    </w:p>
    <w:p>
      <w:pPr>
        <w:pStyle w:val="ListBullet"/>
      </w:pPr>
      <w:r>
        <w:t>Evidence artifacts are retained in Microsoft 365 for at least 18 months.</w:t>
      </w:r>
    </w:p>
    <w:p>
      <w:pPr>
        <w:pStyle w:val="ListBullet"/>
      </w:pPr>
      <w:r>
        <w:t>All incidents are tagged with severity and mapped to service tiers.</w:t>
      </w:r>
    </w:p>
    <w:p>
      <w:pPr>
        <w:pStyle w:val="ListBullet"/>
      </w:pPr>
      <w:r>
        <w:t>All changes require peer review and validation in the Monitoring Stack before production promotion.</w:t>
      </w:r>
    </w:p>
    <w:p>
      <w:pPr>
        <w:pStyle w:val="Heading1"/>
      </w:pPr>
      <w:r>
        <w:t>Discussion</w:t>
      </w:r>
    </w:p>
    <w:p>
      <w:r>
        <w:t>All changes require peer review and validation in the Monitoring Stack before production promotion. Evidence artifacts are retained in Microsoft 365 for at least 18 months. Audit sampling occurs monthly and is summarized in leadership dashboards. Evidence artifacts are retained in Microsoft 365 for at least 18 months.</w:t>
      </w:r>
    </w:p>
    <w:p>
      <w:r>
        <w:t>Escalations should follow the on-call rotation with a response target of 45 minutes. Escalations should follow the on-call rotation with a response target of 45 minutes.</w:t>
      </w:r>
    </w:p>
    <w:p>
      <w:pPr>
        <w:pStyle w:val="ListBullet"/>
      </w:pPr>
      <w:r>
        <w:t>Evidence artifacts are retained in Microsoft 365 for at least 18 months.</w:t>
      </w:r>
    </w:p>
    <w:p>
      <w:pPr>
        <w:pStyle w:val="ListBullet"/>
      </w:pPr>
      <w:r>
        <w:t>The process integrates with Monitoring Stack and depends on Vault for telemetry signals.</w:t>
      </w:r>
    </w:p>
    <w:p>
      <w:pPr>
        <w:pStyle w:val="ListBullet"/>
      </w:pPr>
      <w:r>
        <w:t>All incidents are tagged with severity and mapped to service tiers.</w:t>
      </w:r>
    </w:p>
    <w:p>
      <w:pPr>
        <w:pStyle w:val="Heading1"/>
      </w:pPr>
      <w:r>
        <w:t>Decisions</w:t>
      </w:r>
    </w:p>
    <w:p>
      <w:r>
        <w:t>Audit sampling occurs monthly and is summarized in leadership dashboards. The Cloud Infrastructure organization uses Vault to enforce consistent service baselines. Risk acceptance must be documented and revalidated each quarter.</w:t>
      </w:r>
    </w:p>
    <w:p>
      <w:r>
        <w:t>Stakeholders include the Procurement Lead, service owner, and compliance lead for approvals. Stakeholders include the Procurement Lead, service owner, and compliance lead for approvals.</w:t>
      </w:r>
    </w:p>
    <w:p>
      <w:pPr>
        <w:pStyle w:val="ListBullet"/>
      </w:pPr>
      <w:r>
        <w:t>Stakeholders include the Procurement Lead, service owner, and compliance lead for approvals.</w:t>
      </w:r>
    </w:p>
    <w:p>
      <w:pPr>
        <w:pStyle w:val="ListBullet"/>
      </w:pPr>
      <w:r>
        <w:t>Stakeholders include the Procurement Lead, service owner, and compliance lead for approvals.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Backup validation</w:t>
            </w:r>
          </w:p>
        </w:tc>
        <w:tc>
          <w:tcPr>
            <w:tcW w:type="dxa" w:w="2880"/>
          </w:tcPr>
          <w:p>
            <w:r>
              <w:t>Cloud Infrastructure</w:t>
            </w:r>
          </w:p>
        </w:tc>
        <w:tc>
          <w:tcPr>
            <w:tcW w:type="dxa" w:w="2880"/>
          </w:tcPr>
          <w:p>
            <w:r>
              <w:t>Planned</w:t>
            </w:r>
          </w:p>
        </w:tc>
      </w:tr>
    </w:tbl>
    <w:p>
      <w:pPr>
        <w:pStyle w:val="Heading1"/>
      </w:pPr>
      <w:r>
        <w:t>Action Items</w:t>
      </w:r>
    </w:p>
    <w:p>
      <w:r>
        <w:t>Regional teams in US follow the same policy with localized legal review. This document aligns with PCI DSS requirements and supports US data residency expectations.</w:t>
      </w:r>
    </w:p>
    <w:p>
      <w:r>
        <w:t>All incidents are tagged with severity and mapped to service tiers. Risk acceptance must be documented and revalidated each quarter. Evidence artifacts are retained in Microsoft 365 for at least 18 months.</w:t>
      </w:r>
    </w:p>
    <w:p>
      <w:pPr>
        <w:pStyle w:val="ListBullet"/>
      </w:pPr>
      <w:r>
        <w:t>The process integrates with Monitoring Stack and depends on Vault for telemetry signals.</w:t>
      </w:r>
    </w:p>
    <w:p>
      <w:pPr>
        <w:pStyle w:val="ListBullet"/>
      </w:pPr>
      <w:r>
        <w:t>The process integrates with Monitoring Stack and depends on Vault for telemetry signals.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Incident drill</w:t>
            </w:r>
          </w:p>
        </w:tc>
        <w:tc>
          <w:tcPr>
            <w:tcW w:type="dxa" w:w="2880"/>
          </w:tcPr>
          <w:p>
            <w:r>
              <w:t>Procurement Lead</w:t>
            </w:r>
          </w:p>
        </w:tc>
        <w:tc>
          <w:tcPr>
            <w:tcW w:type="dxa" w:w="2880"/>
          </w:tcPr>
          <w:p>
            <w:r>
              <w:t>Planned</w:t>
            </w:r>
          </w:p>
        </w:tc>
      </w:tr>
      <w:tr>
        <w:tc>
          <w:tcPr>
            <w:tcW w:type="dxa" w:w="2880"/>
          </w:tcPr>
          <w:p>
            <w:r>
              <w:t>Vendor check</w:t>
            </w:r>
          </w:p>
        </w:tc>
        <w:tc>
          <w:tcPr>
            <w:tcW w:type="dxa" w:w="2880"/>
          </w:tcPr>
          <w:p>
            <w:r>
              <w:t>Cloud Infrastructure</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