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Meeting Notes - Compliance APAC v1.1</w:t>
      </w:r>
    </w:p>
    <w:p>
      <w:r>
        <w:t>Department: Compliance</w:t>
      </w:r>
    </w:p>
    <w:p>
      <w:r>
        <w:t>Author: Alex Nguyen</w:t>
      </w:r>
    </w:p>
    <w:p>
      <w:r>
        <w:t>Created date: 2024-02-28</w:t>
      </w:r>
    </w:p>
    <w:p>
      <w:r>
        <w:t>Region: APAC</w:t>
      </w:r>
    </w:p>
    <w:p>
      <w:r>
        <w:t>Version: 1.1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Attendees</w:t>
      </w:r>
    </w:p>
    <w:p>
      <w:r>
        <w:t>Escalations should follow the on-call rotation with a response target of 45 minutes. The Compliance organization uses Redis to enforce consistent service baselines.</w:t>
      </w:r>
    </w:p>
    <w:p>
      <w:r>
        <w:t>We prioritize customer impact, data integrity, and regulatory alignment. This document aligns with SOC 2 requirements and supports APAC data residency expectations. The Compliance organization uses Redis to enforce consistent service baselines.</w:t>
      </w:r>
    </w:p>
    <w:p>
      <w:pPr>
        <w:pStyle w:val="ListBullet"/>
      </w:pPr>
      <w:r>
        <w:t>The process integrates with Customer Data Lake and depends on Redis for telemetry signals.</w:t>
      </w:r>
    </w:p>
    <w:p>
      <w:pPr>
        <w:pStyle w:val="ListBullet"/>
      </w:pPr>
      <w:r>
        <w:t>Evidence artifacts are retained in Confluence for at least 12 months.</w:t>
      </w:r>
    </w:p>
    <w:p>
      <w:pPr>
        <w:pStyle w:val="ListBullet"/>
      </w:pPr>
      <w:r>
        <w:t>Stakeholders include the HR Business Partner, service owner, and compliance lead for approvals.</w:t>
      </w:r>
    </w:p>
    <w:p>
      <w:pPr>
        <w:pStyle w:val="Heading1"/>
      </w:pPr>
      <w:r>
        <w:t>Agenda</w:t>
      </w:r>
    </w:p>
    <w:p>
      <w:r>
        <w:t>All incidents are tagged with severity and mapped to service tiers. Regional teams in APAC follow the same policy with localized legal review. Escalations should follow the on-call rotation with a response target of 45 minutes.</w:t>
      </w:r>
    </w:p>
    <w:p>
      <w:r>
        <w:t>The Compliance team coordinates with HR Business Partner to maintain operational readiness. Risk acceptance must be documented and revalidated each quarter. Risk acceptance must be documented and revalidated each quarter. Audit sampling occurs monthly and is summarized in leadership dashboards.</w:t>
      </w:r>
    </w:p>
    <w:p>
      <w:pPr>
        <w:pStyle w:val="ListBullet"/>
      </w:pPr>
      <w:r>
        <w:t>Teams must log requests in Confluence and track outcomes in Customer Data Lake for audit readiness.</w:t>
      </w:r>
    </w:p>
    <w:p>
      <w:pPr>
        <w:pStyle w:val="ListBullet"/>
      </w:pPr>
      <w:r>
        <w:t>Risk acceptance must be documented and revalidated each quarter.</w:t>
      </w:r>
    </w:p>
    <w:p>
      <w:pPr>
        <w:pStyle w:val="ListBullet"/>
      </w:pPr>
      <w:r>
        <w:t>This document aligns with SOC 2 requirements and supports APAC data residency expectations.</w:t>
      </w:r>
    </w:p>
    <w:p>
      <w:pPr>
        <w:pStyle w:val="ListBullet"/>
      </w:pPr>
      <w:r>
        <w:t>Stakeholders include the HR Business Partner, service owner, and compliance lead for approvals.</w:t>
      </w:r>
    </w:p>
    <w:p>
      <w:pPr>
        <w:pStyle w:val="ListBullet"/>
      </w:pPr>
      <w:r>
        <w:t>The process integrates with Customer Data Lake and depends on Redis for telemetry signals.</w:t>
      </w:r>
    </w:p>
    <w:p>
      <w:pPr>
        <w:pStyle w:val="ListBullet"/>
      </w:pPr>
      <w:r>
        <w:t>Teams must log requests in Confluence and track outcomes in Customer Data Lake for audit readiness.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Compliance</w:t>
            </w:r>
          </w:p>
        </w:tc>
        <w:tc>
          <w:tcPr>
            <w:tcW w:type="dxa" w:w="2880"/>
          </w:tcPr>
          <w:p>
            <w:r>
              <w:t>In Progress</w:t>
            </w:r>
          </w:p>
        </w:tc>
      </w:tr>
      <w:tr>
        <w:tc>
          <w:tcPr>
            <w:tcW w:type="dxa" w:w="2880"/>
          </w:tcPr>
          <w:p>
            <w:r>
              <w:t>Incident drill</w:t>
            </w:r>
          </w:p>
        </w:tc>
        <w:tc>
          <w:tcPr>
            <w:tcW w:type="dxa" w:w="2880"/>
          </w:tcPr>
          <w:p>
            <w:r>
              <w:t>HR Business Partner</w:t>
            </w:r>
          </w:p>
        </w:tc>
        <w:tc>
          <w:tcPr>
            <w:tcW w:type="dxa" w:w="2880"/>
          </w:tcPr>
          <w:p>
            <w:r>
              <w:t>Complete</w:t>
            </w:r>
          </w:p>
        </w:tc>
      </w:tr>
      <w:tr>
        <w:tc>
          <w:tcPr>
            <w:tcW w:type="dxa" w:w="2880"/>
          </w:tcPr>
          <w:p>
            <w:r>
              <w:t>Backup validation</w:t>
            </w:r>
          </w:p>
        </w:tc>
        <w:tc>
          <w:tcPr>
            <w:tcW w:type="dxa" w:w="2880"/>
          </w:tcPr>
          <w:p>
            <w:r>
              <w:t>Compliance</w:t>
            </w:r>
          </w:p>
        </w:tc>
        <w:tc>
          <w:tcPr>
            <w:tcW w:type="dxa" w:w="2880"/>
          </w:tcPr>
          <w:p>
            <w:r>
              <w:t>Planned</w:t>
            </w:r>
          </w:p>
        </w:tc>
      </w:tr>
    </w:tbl>
    <w:p>
      <w:pPr>
        <w:pStyle w:val="Heading1"/>
      </w:pPr>
      <w:r>
        <w:t>Discussion</w:t>
      </w:r>
    </w:p>
    <w:p>
      <w:r>
        <w:t>Escalations should follow the on-call rotation with a response target of 45 minutes. The Compliance team coordinates with HR Business Partner to maintain operational readiness. The process integrates with Customer Data Lake and depends on Redis for telemetry signals. This document aligns with SOC 2 requirements and supports APAC data residency expectations.</w:t>
      </w:r>
    </w:p>
    <w:p>
      <w:r>
        <w:t>Regional teams in APAC follow the same policy with localized legal review. Systems are monitored via Redis and alert routing in Confluence. We prioritize customer impact, data integrity, and regulatory alignment. Escalations should follow the on-call rotation with a response target of 45 minutes.</w:t>
      </w:r>
    </w:p>
    <w:p>
      <w:pPr>
        <w:pStyle w:val="ListBullet"/>
      </w:pPr>
      <w:r>
        <w:t>All incidents are tagged with severity and mapped to service tiers.</w:t>
      </w:r>
    </w:p>
    <w:p>
      <w:pPr>
        <w:pStyle w:val="ListBullet"/>
      </w:pPr>
      <w:r>
        <w:t>Escalations should follow the on-call rotation with a response target of 45 minutes.</w:t>
      </w:r>
    </w:p>
    <w:p>
      <w:pPr>
        <w:pStyle w:val="ListBullet"/>
      </w:pPr>
      <w:r>
        <w:t>Regional teams in APAC follow the same policy with localized legal review.</w:t>
      </w:r>
    </w:p>
    <w:p>
      <w:pPr>
        <w:pStyle w:val="ListBullet"/>
      </w:pPr>
      <w:r>
        <w:t>All incidents are tagged with severity and mapped to service tiers.</w:t>
      </w:r>
    </w:p>
    <w:p>
      <w:pPr>
        <w:pStyle w:val="Heading1"/>
      </w:pPr>
      <w:r>
        <w:t>Decisions</w:t>
      </w:r>
    </w:p>
    <w:p>
      <w:r>
        <w:t>The Compliance organization uses Redis to enforce consistent service baselines. All changes require peer review and validation in the Customer Data Lake before production promotion.</w:t>
      </w:r>
    </w:p>
    <w:p>
      <w:r>
        <w:t>This document aligns with SOC 2 requirements and supports APAC data residency expectations. We prioritize customer impact, data integrity, and regulatory alignment. All incidents are tagged with severity and mapped to service tiers.</w:t>
      </w:r>
    </w:p>
    <w:p>
      <w:pPr>
        <w:pStyle w:val="ListBullet"/>
      </w:pPr>
      <w:r>
        <w:t>Evidence artifacts are retained in Confluence for at least 12 months.</w:t>
      </w:r>
    </w:p>
    <w:p>
      <w:pPr>
        <w:pStyle w:val="ListBullet"/>
      </w:pPr>
      <w:r>
        <w:t>Risk acceptance must be documented and revalidated each quarter.</w:t>
      </w:r>
    </w:p>
    <w:p>
      <w:pPr>
        <w:pStyle w:val="ListBullet"/>
      </w:pPr>
      <w:r>
        <w:t>Evidence artifacts are retained in Confluence for at least 12 months.</w:t>
      </w:r>
    </w:p>
    <w:p>
      <w:pPr>
        <w:pStyle w:val="ListBullet"/>
      </w:pPr>
      <w:r>
        <w:t>All incidents are tagged with severity and mapped to service tiers.</w:t>
      </w:r>
    </w:p>
    <w:p>
      <w:pPr>
        <w:pStyle w:val="Heading1"/>
      </w:pPr>
      <w:r>
        <w:t>Action Items</w:t>
      </w:r>
    </w:p>
    <w:p>
      <w:r>
        <w:t>Risk acceptance must be documented and revalidated each quarter. The Compliance team coordinates with HR Business Partner to maintain operational readiness. Evidence artifacts are retained in Confluence for at least 12 months. Escalations should follow the on-call rotation with a response target of 45 minutes.</w:t>
      </w:r>
    </w:p>
    <w:p>
      <w:r>
        <w:t>The process integrates with Customer Data Lake and depends on Redis for telemetry signals. The process integrates with Customer Data Lake and depends on Redis for telemetry signals. Evidence artifacts are retained in Confluence for at least 12 months.</w:t>
      </w:r>
    </w:p>
    <w:p>
      <w:pPr>
        <w:pStyle w:val="ListBullet"/>
      </w:pPr>
      <w:r>
        <w:t>Teams must log requests in Confluence and track outcomes in Customer Data Lake for audit readiness.</w:t>
      </w:r>
    </w:p>
    <w:p>
      <w:pPr>
        <w:pStyle w:val="ListBullet"/>
      </w:pPr>
      <w:r>
        <w:t>Audit sampling occurs monthly and is summarized in leadership dashboards.</w:t>
      </w:r>
    </w:p>
    <w:p>
      <w:pPr>
        <w:pStyle w:val="ListBullet"/>
      </w:pPr>
      <w:r>
        <w:t>The process integrates with Customer Data Lake and depends on Redis for telemetry signals.</w:t>
      </w:r>
    </w:p>
    <w:p>
      <w:pPr>
        <w:pStyle w:val="ListBullet"/>
      </w:pPr>
      <w:r>
        <w:t>Risk acceptance must be documented and revalidated each quarter.</w:t>
      </w:r>
    </w:p>
    <w:p>
      <w:pPr>
        <w:pStyle w:val="ListBullet"/>
      </w:pPr>
      <w:r>
        <w:t>All changes require peer review and validation in the Customer Data Lake before production promotion.</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Access review</w:t>
            </w:r>
          </w:p>
        </w:tc>
        <w:tc>
          <w:tcPr>
            <w:tcW w:type="dxa" w:w="2880"/>
          </w:tcPr>
          <w:p>
            <w:r>
              <w:t>HR Business Partner</w:t>
            </w:r>
          </w:p>
        </w:tc>
        <w:tc>
          <w:tcPr>
            <w:tcW w:type="dxa" w:w="2880"/>
          </w:tcPr>
          <w:p>
            <w:r>
              <w:t>Blocked</w:t>
            </w:r>
          </w:p>
        </w:tc>
      </w:tr>
      <w:tr>
        <w:tc>
          <w:tcPr>
            <w:tcW w:type="dxa" w:w="2880"/>
          </w:tcPr>
          <w:p>
            <w:r>
              <w:t>Vendor check</w:t>
            </w:r>
          </w:p>
        </w:tc>
        <w:tc>
          <w:tcPr>
            <w:tcW w:type="dxa" w:w="2880"/>
          </w:tcPr>
          <w:p>
            <w:r>
              <w:t>Compliance</w:t>
            </w:r>
          </w:p>
        </w:tc>
        <w:tc>
          <w:tcPr>
            <w:tcW w:type="dxa" w:w="2880"/>
          </w:tcPr>
          <w:p>
            <w:r>
              <w:t>Blocked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