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Data Platform EU v2.1</w:t>
      </w:r>
    </w:p>
    <w:p>
      <w:r>
        <w:t>Department: Data Platform</w:t>
      </w:r>
    </w:p>
    <w:p>
      <w:r>
        <w:t>Author: Morgan Smith</w:t>
      </w:r>
    </w:p>
    <w:p>
      <w:r>
        <w:t>Created date: 2026-02-02</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Audit sampling occurs monthly and is summarized in leadership dashboards. The Data Platform organization uses Kafka to enforce consistent service baselines.</w:t>
      </w:r>
    </w:p>
    <w:p>
      <w:r>
        <w:t>Risk acceptance must be documented and revalidated each quarter. This document aligns with GDPR requirements and supports EU data residency expectations.</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All changes require peer review and validation in the Payment Processing Service before production promotion.</w:t>
      </w:r>
    </w:p>
    <w:p>
      <w:pPr>
        <w:pStyle w:val="ListBullet"/>
      </w:pPr>
      <w:r>
        <w:t>We prioritize customer impact, data integrity, and regulatory alignment.</w:t>
      </w:r>
    </w:p>
    <w:p>
      <w:pPr>
        <w:pStyle w:val="Heading1"/>
      </w:pPr>
      <w:r>
        <w:t>Agenda</w:t>
      </w:r>
    </w:p>
    <w:p>
      <w:r>
        <w:t>Evidence artifacts are retained in Zoom for at least 24 months. This document aligns with GDPR requirements and supports EU data residency expectations.</w:t>
      </w:r>
    </w:p>
    <w:p>
      <w:r>
        <w:t>Systems are monitored via Kafka and alert routing in Zoom. Stakeholders include the HR Business Partner, service owner, and compliance lead for approvals.</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p>
      <w:pPr>
        <w:pStyle w:val="ListBullet"/>
      </w:pPr>
      <w:r>
        <w:t>Systems are monitored via Kafka and alert routing in Zoom.</w:t>
      </w:r>
    </w:p>
    <w:p>
      <w:pPr>
        <w:pStyle w:val="ListBullet"/>
      </w:pPr>
      <w:r>
        <w:t>The process integrates with Payment Processing Service and depends on Kafka for telemetry signals.</w:t>
      </w:r>
    </w:p>
    <w:p>
      <w:pPr>
        <w:pStyle w:val="Heading1"/>
      </w:pPr>
      <w:r>
        <w:t>Discussion</w:t>
      </w:r>
    </w:p>
    <w:p>
      <w:r>
        <w:t>Escalations should follow the on-call rotation with a response target of 45 minutes. Regional teams in EU follow the same policy with localized legal review.</w:t>
      </w:r>
    </w:p>
    <w:p>
      <w:r>
        <w:t>All incidents are tagged with severity and mapped to service tiers. Audit sampling occurs monthly and is summarized in leadership dashboards.</w:t>
      </w:r>
    </w:p>
    <w:p>
      <w:pPr>
        <w:pStyle w:val="ListBullet"/>
      </w:pPr>
      <w:r>
        <w:t>Stakeholders include the HR Business Partner, service owner, and compliance lead for approvals.</w:t>
      </w:r>
    </w:p>
    <w:p>
      <w:pPr>
        <w:pStyle w:val="ListBullet"/>
      </w:pPr>
      <w:r>
        <w:t>The Data Platform organization uses Kafka to enforce consistent service baselines.</w:t>
      </w:r>
    </w:p>
    <w:p>
      <w:pPr>
        <w:pStyle w:val="ListBullet"/>
      </w:pPr>
      <w:r>
        <w:t>All changes require peer review and validation in the Payment Processing Service before production promotion.</w:t>
      </w:r>
    </w:p>
    <w:p>
      <w:pPr>
        <w:pStyle w:val="Heading1"/>
      </w:pPr>
      <w:r>
        <w:t>Decisions</w:t>
      </w:r>
    </w:p>
    <w:p>
      <w:r>
        <w:t>Escalations should follow the on-call rotation with a response target of 45 minutes. The Data Platform organization uses Kafka to enforce consistent service baselines. The process integrates with Payment Processing Service and depends on Kafka for telemetry signals. The Data Platform team coordinates with HR Business Partner to maintain operational readiness.</w:t>
      </w:r>
    </w:p>
    <w:p>
      <w:r>
        <w:t>Stakeholders include the HR Business Partner, service owner, and compliance lead for approvals. The Data Platform organization uses Kafka to enforce consistent service baselines. Audit sampling occurs monthly and is summarized in leadership dashboards. All incidents are tagged with severity and mapped to service tiers.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Stakeholders include the HR Business Partner, service owner, and compliance lead for approvals.</w:t>
      </w:r>
    </w:p>
    <w:p>
      <w:pPr>
        <w:pStyle w:val="ListBullet"/>
      </w:pPr>
      <w:r>
        <w:t>We prioritize customer impact, data integrity, and regulatory alignment.</w:t>
      </w:r>
    </w:p>
    <w:p>
      <w:pPr>
        <w:pStyle w:val="Heading1"/>
      </w:pPr>
      <w:r>
        <w:t>Action Items</w:t>
      </w:r>
    </w:p>
    <w:p>
      <w:r>
        <w:t>The Data Platform team coordinates with HR Business Partner to maintain operational readiness. This document aligns with GDPR requirements and supports EU data residency expectations. Escalations should follow the on-call rotation with a response target of 45 minutes.</w:t>
      </w:r>
    </w:p>
    <w:p>
      <w:r>
        <w:t>The process integrates with Payment Processing Service and depends on Kafka for telemetry signals. Risk acceptance must be documented and revalidated each quarter. Stakeholders include the HR Business Partner, service owner, and compliance lead for approvals. Stakeholders include the HR Business Partner, service owner, and compliance lead for approvals.</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This document aligns with GDPR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