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Human Resources EU v1.2</w:t>
      </w:r>
    </w:p>
    <w:p>
      <w:r>
        <w:t>Department: Human Resources</w:t>
      </w:r>
    </w:p>
    <w:p>
      <w:r>
        <w:t>Author: Riley Patel</w:t>
      </w:r>
    </w:p>
    <w:p>
      <w:r>
        <w:t>Created date: 2024-08-03</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Escalations should follow the on-call rotation with a response target of 60 minutes. Audit sampling occurs monthly and is summarized in leadership dashboards. This document aligns with SOC 2 requirements and supports EU data residency expectations. The process integrates with Ticketing Platform and depends on Terraform for telemetry signals.</w:t>
      </w:r>
    </w:p>
    <w:p>
      <w:r>
        <w:t>Regional teams in EU follow the same policy with localized legal review. We prioritize customer impact, data integrity, and regulatory alignment. Regional teams in EU follow the same policy with localized legal review.</w:t>
      </w:r>
    </w:p>
    <w:p>
      <w:pPr>
        <w:pStyle w:val="ListBullet"/>
      </w:pPr>
      <w:r>
        <w:t>The Human Resources organization uses Terraform to enforce consistent service baselines.</w:t>
      </w:r>
    </w:p>
    <w:p>
      <w:pPr>
        <w:pStyle w:val="ListBullet"/>
      </w:pPr>
      <w:r>
        <w:t>Evidence artifacts are retained in Jira for at least 36 months.</w:t>
      </w:r>
    </w:p>
    <w:p>
      <w:pPr>
        <w:pStyle w:val="ListBullet"/>
      </w:pPr>
      <w:r>
        <w:t>All incidents are tagged with severity and mapped to service tiers.</w:t>
      </w:r>
    </w:p>
    <w:p>
      <w:pPr>
        <w:pStyle w:val="ListBullet"/>
      </w:pPr>
      <w:r>
        <w:t>Teams must log requests in Jira and track outcomes in Ticketing Platform for audit readiness.</w:t>
      </w:r>
    </w:p>
    <w:p>
      <w:pPr>
        <w:pStyle w:val="ListBullet"/>
      </w:pPr>
      <w:r>
        <w:t>Regional teams in EU follow the same policy with localized legal review.</w:t>
      </w:r>
    </w:p>
    <w:p>
      <w:pPr>
        <w:pStyle w:val="ListBullet"/>
      </w:pPr>
      <w:r>
        <w:t>Audit sampling occurs monthly and is summarized in leadership dashboards.</w:t>
      </w:r>
    </w:p>
    <w:p>
      <w:pPr>
        <w:pStyle w:val="Heading1"/>
      </w:pPr>
      <w:r>
        <w:t>Agenda</w:t>
      </w:r>
    </w:p>
    <w:p>
      <w:r>
        <w:t>The Human Resources team coordinates with Security Analyst to maintain operational readiness. Risk acceptance must be documented and revalidated each quarter. We prioritize customer impact, data integrity, and regulatory alignment.</w:t>
      </w:r>
    </w:p>
    <w:p>
      <w:r>
        <w:t>Escalations should follow the on-call rotation with a response target of 60 minutes. Systems are monitored via Terraform and alert routing in Jira.</w:t>
      </w:r>
    </w:p>
    <w:p>
      <w:pPr>
        <w:pStyle w:val="ListBullet"/>
      </w:pPr>
      <w:r>
        <w:t>Regional teams in EU follow the same policy with localized legal review.</w:t>
      </w:r>
    </w:p>
    <w:p>
      <w:pPr>
        <w:pStyle w:val="ListBullet"/>
      </w:pPr>
      <w:r>
        <w:t>The Human Resources organization uses Terraform to enforce consistent service baselines.</w:t>
      </w:r>
    </w:p>
    <w:p>
      <w:pPr>
        <w:pStyle w:val="ListBullet"/>
      </w:pPr>
      <w:r>
        <w:t>Regional teams in EU follow the same policy with localized legal review.</w:t>
      </w:r>
    </w:p>
    <w:p>
      <w:pPr>
        <w:pStyle w:val="ListBullet"/>
      </w:pPr>
      <w:r>
        <w:t>All incidents are tagged with severity and mapped to service tiers.</w:t>
      </w:r>
    </w:p>
    <w:p>
      <w:pPr>
        <w:pStyle w:val="ListBullet"/>
      </w:pPr>
      <w:r>
        <w:t>All changes require peer review and validation in the Ticketing Platform before production promotion.</w:t>
      </w:r>
    </w:p>
    <w:p>
      <w:pPr>
        <w:pStyle w:val="Heading1"/>
      </w:pPr>
      <w:r>
        <w:t>Discussion</w:t>
      </w:r>
    </w:p>
    <w:p>
      <w:r>
        <w:t>Audit sampling occurs monthly and is summarized in leadership dashboards. Regional teams in EU follow the same policy with localized legal review. We prioritize customer impact, data integrity, and regulatory alignment. Escalations should follow the on-call rotation with a response target of 60 minutes.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Systems are monitored via Terraform and alert routing in Jira.</w:t>
      </w:r>
    </w:p>
    <w:p>
      <w:pPr>
        <w:pStyle w:val="ListBullet"/>
      </w:pPr>
      <w:r>
        <w:t>Systems are monitored via Terraform and alert routing in Jira.</w:t>
      </w:r>
    </w:p>
    <w:p>
      <w:pPr>
        <w:pStyle w:val="ListBullet"/>
      </w:pPr>
      <w:r>
        <w:t>The Human Resources team coordinates with Security Analyst to maintain operational readiness.</w:t>
      </w:r>
    </w:p>
    <w:p>
      <w:pPr>
        <w:pStyle w:val="Heading1"/>
      </w:pPr>
      <w:r>
        <w:t>Decisions</w:t>
      </w:r>
    </w:p>
    <w:p>
      <w:r>
        <w:t>All changes require peer review and validation in the Ticketing Platform before production promotion. Escalations should follow the on-call rotation with a response target of 60 minutes. We prioritize customer impact, data integrity, and regulatory alignment. This document aligns with SOC 2 requirements and supports EU data residency expectations.</w:t>
      </w:r>
    </w:p>
    <w:p>
      <w:r>
        <w:t>Stakeholders include the Security Analyst, service owner, and compliance lead for approvals. Teams must log requests in Jira and track outcomes in Ticketing Platform for audit readiness. All incidents are tagged with severity and mapped to service tiers.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The Human Resources team coordinates with Security Analyst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Human Resources</w:t>
            </w:r>
          </w:p>
        </w:tc>
        <w:tc>
          <w:tcPr>
            <w:tcW w:type="dxa" w:w="2880"/>
          </w:tcPr>
          <w:p>
            <w:r>
              <w:t>Planned</w:t>
            </w:r>
          </w:p>
        </w:tc>
      </w:tr>
      <w:tr>
        <w:tc>
          <w:tcPr>
            <w:tcW w:type="dxa" w:w="2880"/>
          </w:tcPr>
          <w:p>
            <w:r>
              <w:t>Backup validation</w:t>
            </w:r>
          </w:p>
        </w:tc>
        <w:tc>
          <w:tcPr>
            <w:tcW w:type="dxa" w:w="2880"/>
          </w:tcPr>
          <w:p>
            <w:r>
              <w:t>Operations</w:t>
            </w:r>
          </w:p>
        </w:tc>
        <w:tc>
          <w:tcPr>
            <w:tcW w:type="dxa" w:w="2880"/>
          </w:tcPr>
          <w:p>
            <w:r>
              <w:t>In Progress</w:t>
            </w:r>
          </w:p>
        </w:tc>
      </w:tr>
      <w:tr>
        <w:tc>
          <w:tcPr>
            <w:tcW w:type="dxa" w:w="2880"/>
          </w:tcPr>
          <w:p>
            <w:r>
              <w:t>Backup validation</w:t>
            </w:r>
          </w:p>
        </w:tc>
        <w:tc>
          <w:tcPr>
            <w:tcW w:type="dxa" w:w="2880"/>
          </w:tcPr>
          <w:p>
            <w:r>
              <w:t>Security</w:t>
            </w:r>
          </w:p>
        </w:tc>
        <w:tc>
          <w:tcPr>
            <w:tcW w:type="dxa" w:w="2880"/>
          </w:tcPr>
          <w:p>
            <w:r>
              <w:t>Planned</w:t>
            </w:r>
          </w:p>
        </w:tc>
      </w:tr>
      <w:tr>
        <w:tc>
          <w:tcPr>
            <w:tcW w:type="dxa" w:w="2880"/>
          </w:tcPr>
          <w:p>
            <w:r>
              <w:t>Access review</w:t>
            </w:r>
          </w:p>
        </w:tc>
        <w:tc>
          <w:tcPr>
            <w:tcW w:type="dxa" w:w="2880"/>
          </w:tcPr>
          <w:p>
            <w:r>
              <w:t>Security</w:t>
            </w:r>
          </w:p>
        </w:tc>
        <w:tc>
          <w:tcPr>
            <w:tcW w:type="dxa" w:w="2880"/>
          </w:tcPr>
          <w:p>
            <w:r>
              <w:t>Planned</w:t>
            </w:r>
          </w:p>
        </w:tc>
      </w:tr>
    </w:tbl>
    <w:p>
      <w:pPr>
        <w:pStyle w:val="Heading1"/>
      </w:pPr>
      <w:r>
        <w:t>Action Items</w:t>
      </w:r>
    </w:p>
    <w:p>
      <w:r>
        <w:t>The Human Resources organization uses Terraform to enforce consistent service baselines. Stakeholders include the Security Analyst, service owner, and compliance lead for approvals.</w:t>
      </w:r>
    </w:p>
    <w:p>
      <w:r>
        <w:t>Audit sampling occurs monthly and is summarized in leadership dashboards. Stakeholders include the Security Analyst, service owner, and compliance lead for approvals. Regional teams in EU follow the same policy with localized legal review.</w:t>
      </w:r>
    </w:p>
    <w:p>
      <w:pPr>
        <w:pStyle w:val="ListBullet"/>
      </w:pPr>
      <w:r>
        <w:t>All incidents are tagged with severity and mapped to service tiers.</w:t>
      </w:r>
    </w:p>
    <w:p>
      <w:pPr>
        <w:pStyle w:val="ListBullet"/>
      </w:pPr>
      <w:r>
        <w:t>Risk acceptance must be documented and revalidated each quarter.</w:t>
      </w:r>
    </w:p>
    <w:p>
      <w:pPr>
        <w:pStyle w:val="ListBullet"/>
      </w:pPr>
      <w:r>
        <w:t>Systems are monitored via Terraform and alert routing in Jira.</w:t>
      </w:r>
    </w:p>
    <w:p>
      <w:pPr>
        <w:pStyle w:val="ListBullet"/>
      </w:pPr>
      <w:r>
        <w:t>All changes require peer review and validation in the Ticketing Platform before production promotion.</w:t>
      </w:r>
    </w:p>
    <w:p>
      <w:pPr>
        <w:pStyle w:val="ListBullet"/>
      </w:pPr>
      <w:r>
        <w:t>Escalations should follow the on-call rotation with a response target of 60 minutes.</w:t>
      </w:r>
    </w:p>
    <w:p>
      <w:pPr>
        <w:pStyle w:val="ListBullet"/>
      </w:pPr>
      <w:r>
        <w:t>All incidents are tagged with severity and mapped to service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