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Human Resources US v2.1</w:t>
      </w:r>
    </w:p>
    <w:p>
      <w:r>
        <w:t>Department: Human Resources</w:t>
      </w:r>
    </w:p>
    <w:p>
      <w:r>
        <w:t>Author: Morgan Garcia</w:t>
      </w:r>
    </w:p>
    <w:p>
      <w:r>
        <w:t>Created date: 2026-02-07</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Audit sampling occurs monthly and is summarized in leadership dashboards. Escalations should follow the on-call rotation with a response target of 45 minutes. This document aligns with ISO 27001 requirements and supports US data residency expectations.</w:t>
      </w:r>
    </w:p>
    <w:p>
      <w:r>
        <w:t>We prioritize customer impact, data integrity, and regulatory alignment. We prioritize customer impact, data integrity, and regulatory alignment. All incidents are tagged with severity and mapped to service tiers. All changes require peer review and validation in the ERP System before production promotion.</w:t>
      </w:r>
    </w:p>
    <w:p>
      <w:pPr>
        <w:pStyle w:val="ListBullet"/>
      </w:pPr>
      <w:r>
        <w:t>Systems are monitored via ServiceNow and alert routing in SAP.</w:t>
      </w:r>
    </w:p>
    <w:p>
      <w:pPr>
        <w:pStyle w:val="ListBullet"/>
      </w:pPr>
      <w:r>
        <w:t>Stakeholders include the Release Manager, service owner, and compliance lead for approvals.</w:t>
      </w:r>
    </w:p>
    <w:p>
      <w:pPr>
        <w:pStyle w:val="ListBullet"/>
      </w:pPr>
      <w:r>
        <w:t>The Human Resources organization uses ServiceNow to enforce consistent service baselines.</w:t>
      </w:r>
    </w:p>
    <w:p>
      <w:pPr>
        <w:pStyle w:val="ListBullet"/>
      </w:pPr>
      <w:r>
        <w:t>Regional teams in US follow the same policy with localized legal review.</w:t>
      </w:r>
    </w:p>
    <w:p>
      <w:pPr>
        <w:pStyle w:val="ListBullet"/>
      </w:pPr>
      <w:r>
        <w:t>Risk acceptance must be documented and revalidated each quarter.</w:t>
      </w:r>
    </w:p>
    <w:p>
      <w:pPr>
        <w:pStyle w:val="Heading1"/>
      </w:pPr>
      <w:r>
        <w:t>Agenda</w:t>
      </w:r>
    </w:p>
    <w:p>
      <w:r>
        <w:t>The Human Resources organization uses ServiceNow to enforce consistent service baselines. All incidents are tagged with severity and mapped to service tiers.</w:t>
      </w:r>
    </w:p>
    <w:p>
      <w:r>
        <w:t>The process integrates with ERP System and depends on ServiceNow for telemetry signals. All incidents are tagged with severity and mapped to service tiers. All incidents are tagged with severity and mapped to service tiers.</w:t>
      </w:r>
    </w:p>
    <w:p>
      <w:pPr>
        <w:pStyle w:val="ListBullet"/>
      </w:pPr>
      <w:r>
        <w:t>Regional teams in US follow the same policy with localized legal review.</w:t>
      </w:r>
    </w:p>
    <w:p>
      <w:pPr>
        <w:pStyle w:val="ListBullet"/>
      </w:pPr>
      <w:r>
        <w:t>The process integrates with ERP System and depends on ServiceNow for telemetry signals.</w:t>
      </w:r>
    </w:p>
    <w:p>
      <w:pPr>
        <w:pStyle w:val="ListBullet"/>
      </w:pPr>
      <w:r>
        <w:t>Systems are monitored via ServiceNow and alert routing in SAP.</w:t>
      </w:r>
    </w:p>
    <w:p>
      <w:pPr>
        <w:pStyle w:val="ListBullet"/>
      </w:pPr>
      <w:r>
        <w:t>Systems are monitored via ServiceNow and alert routing in SAP.</w:t>
      </w:r>
    </w:p>
    <w:p>
      <w:pPr>
        <w:pStyle w:val="ListBullet"/>
      </w:pPr>
      <w:r>
        <w:t>This document aligns with ISO 27001 requirements and supports US data residency expectations.</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Access review</w:t>
            </w:r>
          </w:p>
        </w:tc>
        <w:tc>
          <w:tcPr>
            <w:tcW w:type="dxa" w:w="2880"/>
          </w:tcPr>
          <w:p>
            <w:r>
              <w:t>Security</w:t>
            </w:r>
          </w:p>
        </w:tc>
        <w:tc>
          <w:tcPr>
            <w:tcW w:type="dxa" w:w="2880"/>
          </w:tcPr>
          <w:p>
            <w:r>
              <w:t>Blocked</w:t>
            </w:r>
          </w:p>
        </w:tc>
      </w:tr>
      <w:tr>
        <w:tc>
          <w:tcPr>
            <w:tcW w:type="dxa" w:w="2880"/>
          </w:tcPr>
          <w:p>
            <w:r>
              <w:t>Access review</w:t>
            </w:r>
          </w:p>
        </w:tc>
        <w:tc>
          <w:tcPr>
            <w:tcW w:type="dxa" w:w="2880"/>
          </w:tcPr>
          <w:p>
            <w:r>
              <w:t>Operations</w:t>
            </w:r>
          </w:p>
        </w:tc>
        <w:tc>
          <w:tcPr>
            <w:tcW w:type="dxa" w:w="2880"/>
          </w:tcPr>
          <w:p>
            <w:r>
              <w:t>Complete</w:t>
            </w:r>
          </w:p>
        </w:tc>
      </w:tr>
    </w:tbl>
    <w:p>
      <w:pPr>
        <w:pStyle w:val="Heading1"/>
      </w:pPr>
      <w:r>
        <w:t>Discussion</w:t>
      </w:r>
    </w:p>
    <w:p>
      <w:r>
        <w:t>All changes require peer review and validation in the ERP System before production promotion. All incidents are tagged with severity and mapped to service tiers.</w:t>
      </w:r>
    </w:p>
    <w:p>
      <w:r>
        <w:t>We prioritize customer impact, data integrity, and regulatory alignment. Systems are monitored via ServiceNow and alert routing in SAP. Evidence artifacts are retained in SAP for at least 24 months.</w:t>
      </w:r>
    </w:p>
    <w:p>
      <w:pPr>
        <w:pStyle w:val="ListBullet"/>
      </w:pPr>
      <w:r>
        <w:t>All incidents are tagged with severity and mapped to service tiers.</w:t>
      </w:r>
    </w:p>
    <w:p>
      <w:pPr>
        <w:pStyle w:val="ListBullet"/>
      </w:pPr>
      <w:r>
        <w:t>The process integrates with ERP System and depends on ServiceNow for telemetry signals.</w:t>
      </w:r>
    </w:p>
    <w:p>
      <w:pPr>
        <w:pStyle w:val="ListBullet"/>
      </w:pPr>
      <w:r>
        <w:t>Systems are monitored via ServiceNow and alert routing in SAP.</w:t>
      </w:r>
    </w:p>
    <w:p>
      <w:pPr>
        <w:pStyle w:val="ListBullet"/>
      </w:pPr>
      <w:r>
        <w:t>Regional teams in US follow the same policy with localized legal review.</w:t>
      </w:r>
    </w:p>
    <w:p>
      <w:pPr>
        <w:pStyle w:val="ListBullet"/>
      </w:pPr>
      <w:r>
        <w:t>All changes require peer review and validation in the ERP System before production promotion.</w:t>
      </w:r>
    </w:p>
    <w:p>
      <w:pPr>
        <w:pStyle w:val="Heading1"/>
      </w:pPr>
      <w:r>
        <w:t>Decisions</w:t>
      </w:r>
    </w:p>
    <w:p>
      <w:r>
        <w:t>Teams must log requests in SAP and track outcomes in ERP System for audit readiness. Risk acceptance must be documented and revalidated each quarter.</w:t>
      </w:r>
    </w:p>
    <w:p>
      <w:r>
        <w:t>Regional teams in US follow the same policy with localized legal review. Evidence artifacts are retained in SAP for at least 24 months.</w:t>
      </w:r>
    </w:p>
    <w:p>
      <w:pPr>
        <w:pStyle w:val="ListBullet"/>
      </w:pPr>
      <w:r>
        <w:t>This document aligns with ISO 27001 requirements and supports US data residency expectations.</w:t>
      </w:r>
    </w:p>
    <w:p>
      <w:pPr>
        <w:pStyle w:val="ListBullet"/>
      </w:pPr>
      <w:r>
        <w:t>Escalations should follow the on-call rotation with a response target of 45 minutes.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Heading1"/>
      </w:pPr>
      <w:r>
        <w:t>Action Items</w:t>
      </w:r>
    </w:p>
    <w:p>
      <w:r>
        <w:t>We prioritize customer impact, data integrity, and regulatory alignment. We prioritize customer impact, data integrity, and regulatory alignment. Stakeholders include the Release Manager, service owner, and compliance lead for approvals. All changes require peer review and validation in the ERP System before production promotion.</w:t>
      </w:r>
    </w:p>
    <w:p>
      <w:pPr>
        <w:pStyle w:val="ListBullet"/>
      </w:pPr>
      <w:r>
        <w:t>Teams must log requests in SAP and track outcomes in ERP System for audit readiness.</w:t>
      </w:r>
    </w:p>
    <w:p>
      <w:pPr>
        <w:pStyle w:val="ListBullet"/>
      </w:pPr>
      <w:r>
        <w:t>This document aligns with ISO 27001 requirements and supports US data residency expectations.</w:t>
      </w:r>
    </w:p>
    <w:p>
      <w:pPr>
        <w:pStyle w:val="ListBullet"/>
      </w:pPr>
      <w:r>
        <w:t>All changes require peer review and validation in the ERP System before production promotion.</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