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Information Technology APAC v1.1</w:t>
      </w:r>
    </w:p>
    <w:p>
      <w:r>
        <w:t>Department: Information Technology</w:t>
      </w:r>
    </w:p>
    <w:p>
      <w:r>
        <w:t>Author: Jordan Garcia</w:t>
      </w:r>
    </w:p>
    <w:p>
      <w:r>
        <w:t>Created date: 2025-02-10</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The Information Technology organization uses PostgreSQL to enforce consistent service baselines. Stakeholders include the Compliance Manager, service owner, and compliance lead for approvals. The Information Technology organization uses PostgreSQL to enforce consistent service baselines.</w:t>
      </w:r>
    </w:p>
    <w:p>
      <w:r>
        <w:t>We prioritize customer impact, data integrity, and regulatory alignment. We prioritize customer impact, data integrity, and regulatory alignment.</w:t>
      </w:r>
    </w:p>
    <w:p>
      <w:pPr>
        <w:pStyle w:val="ListBullet"/>
      </w:pPr>
      <w:r>
        <w:t>Risk acceptance must be documented and revalidated each quarter.</w:t>
      </w:r>
    </w:p>
    <w:p>
      <w:pPr>
        <w:pStyle w:val="ListBullet"/>
      </w:pPr>
      <w:r>
        <w:t>Teams must log requests in Zoom and track outcomes in Monitoring Stack for audit readiness.</w:t>
      </w:r>
    </w:p>
    <w:p>
      <w:pPr>
        <w:pStyle w:val="ListBullet"/>
      </w:pPr>
      <w:r>
        <w:t>We prioritize customer impact, data integrity, and regulatory alignment.</w:t>
      </w:r>
    </w:p>
    <w:p>
      <w:pPr>
        <w:pStyle w:val="ListBullet"/>
      </w:pPr>
      <w:r>
        <w:t>Teams must log requests in Zoom and track outcomes in Monitoring Stack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Information Technology</w:t>
            </w:r>
          </w:p>
        </w:tc>
        <w:tc>
          <w:tcPr>
            <w:tcW w:type="dxa" w:w="2880"/>
          </w:tcPr>
          <w:p>
            <w:r>
              <w:t>In Progress</w:t>
            </w:r>
          </w:p>
        </w:tc>
      </w:tr>
      <w:tr>
        <w:tc>
          <w:tcPr>
            <w:tcW w:type="dxa" w:w="2880"/>
          </w:tcPr>
          <w:p>
            <w:r>
              <w:t>Vendor check</w:t>
            </w:r>
          </w:p>
        </w:tc>
        <w:tc>
          <w:tcPr>
            <w:tcW w:type="dxa" w:w="2880"/>
          </w:tcPr>
          <w:p>
            <w:r>
              <w:t>Information Technology</w:t>
            </w:r>
          </w:p>
        </w:tc>
        <w:tc>
          <w:tcPr>
            <w:tcW w:type="dxa" w:w="2880"/>
          </w:tcPr>
          <w:p>
            <w:r>
              <w:t>Blocked</w:t>
            </w:r>
          </w:p>
        </w:tc>
      </w:tr>
      <w:tr>
        <w:tc>
          <w:tcPr>
            <w:tcW w:type="dxa" w:w="2880"/>
          </w:tcPr>
          <w:p>
            <w:r>
              <w:t>Access review</w:t>
            </w:r>
          </w:p>
        </w:tc>
        <w:tc>
          <w:tcPr>
            <w:tcW w:type="dxa" w:w="2880"/>
          </w:tcPr>
          <w:p>
            <w:r>
              <w:t>Compliance Manager</w:t>
            </w:r>
          </w:p>
        </w:tc>
        <w:tc>
          <w:tcPr>
            <w:tcW w:type="dxa" w:w="2880"/>
          </w:tcPr>
          <w:p>
            <w:r>
              <w:t>In Progress</w:t>
            </w:r>
          </w:p>
        </w:tc>
      </w:tr>
      <w:tr>
        <w:tc>
          <w:tcPr>
            <w:tcW w:type="dxa" w:w="2880"/>
          </w:tcPr>
          <w:p>
            <w:r>
              <w:t>Access review</w:t>
            </w:r>
          </w:p>
        </w:tc>
        <w:tc>
          <w:tcPr>
            <w:tcW w:type="dxa" w:w="2880"/>
          </w:tcPr>
          <w:p>
            <w:r>
              <w:t>Operations</w:t>
            </w:r>
          </w:p>
        </w:tc>
        <w:tc>
          <w:tcPr>
            <w:tcW w:type="dxa" w:w="2880"/>
          </w:tcPr>
          <w:p>
            <w:r>
              <w:t>Planned</w:t>
            </w:r>
          </w:p>
        </w:tc>
      </w:tr>
    </w:tbl>
    <w:p>
      <w:pPr>
        <w:pStyle w:val="Heading1"/>
      </w:pPr>
      <w:r>
        <w:t>Agenda</w:t>
      </w:r>
    </w:p>
    <w:p>
      <w:r>
        <w:t>This document aligns with SOC 2 requirements and supports APAC data residency expectations. The process integrates with Monitoring Stack and depends on PostgreSQL for telemetry signals.</w:t>
      </w:r>
    </w:p>
    <w:p>
      <w:pPr>
        <w:pStyle w:val="ListBullet"/>
      </w:pPr>
      <w:r>
        <w:t>All changes require peer review and validation in the Monitoring Stack before production promotion.</w:t>
      </w:r>
    </w:p>
    <w:p>
      <w:pPr>
        <w:pStyle w:val="ListBullet"/>
      </w:pPr>
      <w:r>
        <w:t>The process integrates with Monitoring Stack and depends on PostgreSQL for telemetry signals.</w:t>
      </w:r>
    </w:p>
    <w:p>
      <w:pPr>
        <w:pStyle w:val="ListBullet"/>
      </w:pPr>
      <w:r>
        <w:t>The process integrates with Monitoring Stack and depends on PostgreSQL for telemetry signals.</w:t>
      </w:r>
    </w:p>
    <w:p>
      <w:pPr>
        <w:pStyle w:val="ListBullet"/>
      </w:pPr>
      <w:r>
        <w:t>Stakeholders include the Compliance Manager, service owner, and compliance lead for approvals.</w:t>
      </w:r>
    </w:p>
    <w:p>
      <w:pPr>
        <w:pStyle w:val="ListBullet"/>
      </w:pPr>
      <w:r>
        <w:t>Escalations should follow the on-call rotation with a response target of 30 minutes.</w:t>
      </w:r>
    </w:p>
    <w:p>
      <w:pPr>
        <w:pStyle w:val="Heading1"/>
      </w:pPr>
      <w:r>
        <w:t>Discussion</w:t>
      </w:r>
    </w:p>
    <w:p>
      <w:r>
        <w:t>This document aligns with SOC 2 requirements and supports APAC data residency expectations. The Information Technology organization uses PostgreSQL to enforce consistent service baselines.</w:t>
      </w:r>
    </w:p>
    <w:p>
      <w:r>
        <w:t>This document aligns with SOC 2 requirements and supports APAC data residency expectations. Regional teams in APAC follow the same policy with localized legal review.</w:t>
      </w:r>
    </w:p>
    <w:p>
      <w:pPr>
        <w:pStyle w:val="ListBullet"/>
      </w:pPr>
      <w:r>
        <w:t>We prioritize customer impact, data integrity, and regulatory alignment.</w:t>
      </w:r>
    </w:p>
    <w:p>
      <w:pPr>
        <w:pStyle w:val="ListBullet"/>
      </w:pPr>
      <w:r>
        <w:t>Stakeholders include the Compliance Manager, service owner, and compliance lead for approvals.</w:t>
      </w:r>
    </w:p>
    <w:p>
      <w:pPr>
        <w:pStyle w:val="ListBullet"/>
      </w:pPr>
      <w:r>
        <w:t>We prioritize customer impact, data integrity, and regulatory alignment.</w:t>
      </w:r>
    </w:p>
    <w:p>
      <w:pPr>
        <w:pStyle w:val="ListBullet"/>
      </w:pPr>
      <w:r>
        <w:t>This document aligns with SOC 2 requirements and supports APAC data residency expectations.</w:t>
      </w:r>
    </w:p>
    <w:p>
      <w:pPr>
        <w:pStyle w:val="ListBullet"/>
      </w:pPr>
      <w:r>
        <w:t>Stakeholders include the Compliance Manager,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Compliance Manager</w:t>
            </w:r>
          </w:p>
        </w:tc>
        <w:tc>
          <w:tcPr>
            <w:tcW w:type="dxa" w:w="2880"/>
          </w:tcPr>
          <w:p>
            <w:r>
              <w:t>Blocked</w:t>
            </w:r>
          </w:p>
        </w:tc>
      </w:tr>
      <w:tr>
        <w:tc>
          <w:tcPr>
            <w:tcW w:type="dxa" w:w="2880"/>
          </w:tcPr>
          <w:p>
            <w:r>
              <w:t>Vendor check</w:t>
            </w:r>
          </w:p>
        </w:tc>
        <w:tc>
          <w:tcPr>
            <w:tcW w:type="dxa" w:w="2880"/>
          </w:tcPr>
          <w:p>
            <w:r>
              <w:t>Information Technology</w:t>
            </w:r>
          </w:p>
        </w:tc>
        <w:tc>
          <w:tcPr>
            <w:tcW w:type="dxa" w:w="2880"/>
          </w:tcPr>
          <w:p>
            <w:r>
              <w:t>Planned</w:t>
            </w:r>
          </w:p>
        </w:tc>
      </w:tr>
      <w:tr>
        <w:tc>
          <w:tcPr>
            <w:tcW w:type="dxa" w:w="2880"/>
          </w:tcPr>
          <w:p>
            <w:r>
              <w:t>Backup validation</w:t>
            </w:r>
          </w:p>
        </w:tc>
        <w:tc>
          <w:tcPr>
            <w:tcW w:type="dxa" w:w="2880"/>
          </w:tcPr>
          <w:p>
            <w:r>
              <w:t>Compliance Manager</w:t>
            </w:r>
          </w:p>
        </w:tc>
        <w:tc>
          <w:tcPr>
            <w:tcW w:type="dxa" w:w="2880"/>
          </w:tcPr>
          <w:p>
            <w:r>
              <w:t>Complete</w:t>
            </w:r>
          </w:p>
        </w:tc>
      </w:tr>
      <w:tr>
        <w:tc>
          <w:tcPr>
            <w:tcW w:type="dxa" w:w="2880"/>
          </w:tcPr>
          <w:p>
            <w:r>
              <w:t>Access review</w:t>
            </w:r>
          </w:p>
        </w:tc>
        <w:tc>
          <w:tcPr>
            <w:tcW w:type="dxa" w:w="2880"/>
          </w:tcPr>
          <w:p>
            <w:r>
              <w:t>Security</w:t>
            </w:r>
          </w:p>
        </w:tc>
        <w:tc>
          <w:tcPr>
            <w:tcW w:type="dxa" w:w="2880"/>
          </w:tcPr>
          <w:p>
            <w:r>
              <w:t>In Progress</w:t>
            </w:r>
          </w:p>
        </w:tc>
      </w:tr>
    </w:tbl>
    <w:p>
      <w:pPr>
        <w:pStyle w:val="Heading1"/>
      </w:pPr>
      <w:r>
        <w:t>Decisions</w:t>
      </w:r>
    </w:p>
    <w:p>
      <w:r>
        <w:t>Escalations should follow the on-call rotation with a response target of 30 minutes. Evidence artifacts are retained in Zoom for at least 18 months. All incidents are tagged with severity and mapped to service tiers.</w:t>
      </w:r>
    </w:p>
    <w:p>
      <w:pPr>
        <w:pStyle w:val="ListBullet"/>
      </w:pPr>
      <w:r>
        <w:t>Escalations should follow the on-call rotation with a response target of 30 minutes.</w:t>
      </w:r>
    </w:p>
    <w:p>
      <w:pPr>
        <w:pStyle w:val="ListBullet"/>
      </w:pPr>
      <w:r>
        <w:t>Stakeholders include the Compliance Manager, service owner, and compliance lead for approvals.</w:t>
      </w:r>
    </w:p>
    <w:p>
      <w:pPr>
        <w:pStyle w:val="ListBullet"/>
      </w:pPr>
      <w:r>
        <w:t>The Information Technology team coordinates with Compliance Manager to maintain operational readiness.</w:t>
      </w:r>
    </w:p>
    <w:p>
      <w:pPr>
        <w:pStyle w:val="ListBullet"/>
      </w:pPr>
      <w:r>
        <w:t>Evidence artifacts are retained in Zoom for at least 18 months.</w:t>
      </w:r>
    </w:p>
    <w:p>
      <w:pPr>
        <w:pStyle w:val="ListBullet"/>
      </w:pPr>
      <w:r>
        <w:t>Evidence artifacts are retained in Zoom for at least 18 months.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Information Technology</w:t>
            </w:r>
          </w:p>
        </w:tc>
        <w:tc>
          <w:tcPr>
            <w:tcW w:type="dxa" w:w="2880"/>
          </w:tcPr>
          <w:p>
            <w:r>
              <w:t>Blocked</w:t>
            </w:r>
          </w:p>
        </w:tc>
      </w:tr>
      <w:tr>
        <w:tc>
          <w:tcPr>
            <w:tcW w:type="dxa" w:w="2880"/>
          </w:tcPr>
          <w:p>
            <w:r>
              <w:t>Patch window</w:t>
            </w:r>
          </w:p>
        </w:tc>
        <w:tc>
          <w:tcPr>
            <w:tcW w:type="dxa" w:w="2880"/>
          </w:tcPr>
          <w:p>
            <w:r>
              <w:t>Information Technology</w:t>
            </w:r>
          </w:p>
        </w:tc>
        <w:tc>
          <w:tcPr>
            <w:tcW w:type="dxa" w:w="2880"/>
          </w:tcPr>
          <w:p>
            <w:r>
              <w:t>Complete</w:t>
            </w:r>
          </w:p>
        </w:tc>
      </w:tr>
      <w:tr>
        <w:tc>
          <w:tcPr>
            <w:tcW w:type="dxa" w:w="2880"/>
          </w:tcPr>
          <w:p>
            <w:r>
              <w:t>Patch window</w:t>
            </w:r>
          </w:p>
        </w:tc>
        <w:tc>
          <w:tcPr>
            <w:tcW w:type="dxa" w:w="2880"/>
          </w:tcPr>
          <w:p>
            <w:r>
              <w:t>Security</w:t>
            </w:r>
          </w:p>
        </w:tc>
        <w:tc>
          <w:tcPr>
            <w:tcW w:type="dxa" w:w="2880"/>
          </w:tcPr>
          <w:p>
            <w:r>
              <w:t>Complete</w:t>
            </w:r>
          </w:p>
        </w:tc>
      </w:tr>
      <w:tr>
        <w:tc>
          <w:tcPr>
            <w:tcW w:type="dxa" w:w="2880"/>
          </w:tcPr>
          <w:p>
            <w:r>
              <w:t>Access review</w:t>
            </w:r>
          </w:p>
        </w:tc>
        <w:tc>
          <w:tcPr>
            <w:tcW w:type="dxa" w:w="2880"/>
          </w:tcPr>
          <w:p>
            <w:r>
              <w:t>Operations</w:t>
            </w:r>
          </w:p>
        </w:tc>
        <w:tc>
          <w:tcPr>
            <w:tcW w:type="dxa" w:w="2880"/>
          </w:tcPr>
          <w:p>
            <w:r>
              <w:t>Blocked</w:t>
            </w:r>
          </w:p>
        </w:tc>
      </w:tr>
    </w:tbl>
    <w:p>
      <w:pPr>
        <w:pStyle w:val="Heading1"/>
      </w:pPr>
      <w:r>
        <w:t>Action Items</w:t>
      </w:r>
    </w:p>
    <w:p>
      <w:r>
        <w:t>Evidence artifacts are retained in Zoom for at least 18 months. Systems are monitored via PostgreSQL and alert routing in Zoom.</w:t>
      </w:r>
    </w:p>
    <w:p>
      <w:r>
        <w:t>All changes require peer review and validation in the Monitoring Stack before production promotion. All incidents are tagged with severity and mapped to service tiers. All changes require peer review and validation in the Monitoring Stack before production promotion.</w:t>
      </w:r>
    </w:p>
    <w:p>
      <w:pPr>
        <w:pStyle w:val="ListBullet"/>
      </w:pPr>
      <w:r>
        <w:t>Teams must log requests in Zoom and track outcomes in Monitoring Stack for audit readiness.</w:t>
      </w:r>
    </w:p>
    <w:p>
      <w:pPr>
        <w:pStyle w:val="ListBullet"/>
      </w:pPr>
      <w:r>
        <w:t>This document aligns with SOC 2 requirements and supports APAC data residency expectations.</w:t>
      </w:r>
    </w:p>
    <w:p>
      <w:pPr>
        <w:pStyle w:val="ListBullet"/>
      </w:pPr>
      <w:r>
        <w:t>All incidents are tagged with severity and mapped to service tiers.</w:t>
      </w:r>
    </w:p>
    <w:p>
      <w:pPr>
        <w:pStyle w:val="ListBullet"/>
      </w:pPr>
      <w:r>
        <w:t>Escalations should follow the on-call rotation with a response target of 30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