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Information Technology EU v3.0</w:t>
      </w:r>
    </w:p>
    <w:p>
      <w:r>
        <w:t>Department: Information Technology</w:t>
      </w:r>
    </w:p>
    <w:p>
      <w:r>
        <w:t>Author: Avery Lee</w:t>
      </w:r>
    </w:p>
    <w:p>
      <w:r>
        <w:t>Created date: 2025-03-13</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All incidents are tagged with severity and mapped to service tiers. Regional teams in EU follow the same policy with localized legal review. Evidence artifacts are retained in Zoom for at least 12 months. We prioritize customer impact, data integrity, and regulatory alignment.</w:t>
      </w:r>
    </w:p>
    <w:p>
      <w:r>
        <w:t>Evidence artifacts are retained in Zoom for at least 12 months. The Information Technology team coordinates with Compliance Manager to maintain operational readiness. Escalations should follow the on-call rotation with a response target of 60 minutes.</w:t>
      </w:r>
    </w:p>
    <w:p>
      <w:pPr>
        <w:pStyle w:val="ListBullet"/>
      </w:pPr>
      <w:r>
        <w:t>The Information Technology team coordinates with Compliance Manager to maintain operational readiness.</w:t>
      </w:r>
    </w:p>
    <w:p>
      <w:pPr>
        <w:pStyle w:val="ListBullet"/>
      </w:pPr>
      <w:r>
        <w:t>Teams must log requests in Zoom and track outcomes in Log Aggregation Cluster for audit readiness.</w:t>
      </w:r>
    </w:p>
    <w:p>
      <w:pPr>
        <w:pStyle w:val="ListBullet"/>
      </w:pPr>
      <w:r>
        <w:t>All incidents are tagged with severity and mapped to service tiers.</w:t>
      </w:r>
    </w:p>
    <w:p>
      <w:pPr>
        <w:pStyle w:val="ListBullet"/>
      </w:pPr>
      <w:r>
        <w:t>This document aligns with SOC 2 requirements and supports EU data residency expectations.</w:t>
      </w:r>
    </w:p>
    <w:p>
      <w:pPr>
        <w:pStyle w:val="ListBullet"/>
      </w:pPr>
      <w:r>
        <w:t>We prioritize customer impact, data integrity, and regulatory alignment.</w:t>
      </w:r>
    </w:p>
    <w:p>
      <w:pPr>
        <w:pStyle w:val="Heading1"/>
      </w:pPr>
      <w:r>
        <w:t>Agenda</w:t>
      </w:r>
    </w:p>
    <w:p>
      <w:r>
        <w:t>Stakeholders include the Compliance Manager, service owner, and compliance lead for approvals. Risk acceptance must be documented and revalidated each quarter.</w:t>
      </w:r>
    </w:p>
    <w:p>
      <w:r>
        <w:t>Teams must log requests in Zoom and track outcomes in Log Aggregation Cluster for audit readiness. Regional teams in EU follow the same policy with localized legal review.</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process integrates with Log Aggregation Cluster and depends on ServiceNow for telemetry signals.</w:t>
      </w:r>
    </w:p>
    <w:p>
      <w:pPr>
        <w:pStyle w:val="ListBullet"/>
      </w:pPr>
      <w:r>
        <w:t>The Information Technology organization uses ServiceNow to enforce consistent service baselines.</w:t>
      </w:r>
    </w:p>
    <w:p>
      <w:pPr>
        <w:pStyle w:val="ListBullet"/>
      </w:pPr>
      <w:r>
        <w:t>The process integrates with Log Aggregation Cluster and depends on ServiceNow for telemetry signals.</w:t>
      </w:r>
    </w:p>
    <w:p>
      <w:pPr>
        <w:pStyle w:val="Heading1"/>
      </w:pPr>
      <w:r>
        <w:t>Discussion</w:t>
      </w:r>
    </w:p>
    <w:p>
      <w:r>
        <w:t>This document aligns with SOC 2 requirements and supports EU data residency expectations. The process integrates with Log Aggregation Cluster and depends on ServiceNow for telemetry signals. All incidents are tagged with severity and mapped to service tiers. The Information Technology organization uses ServiceNow to enforce consistent service baselines.</w:t>
      </w:r>
    </w:p>
    <w:p>
      <w:pPr>
        <w:pStyle w:val="ListBullet"/>
      </w:pPr>
      <w:r>
        <w:t>Systems are monitored via ServiceNow and alert routing in Zoom.</w:t>
      </w:r>
    </w:p>
    <w:p>
      <w:pPr>
        <w:pStyle w:val="ListBullet"/>
      </w:pPr>
      <w:r>
        <w:t>All incidents are tagged with severity and mapped to service tiers.</w:t>
      </w:r>
    </w:p>
    <w:p>
      <w:pPr>
        <w:pStyle w:val="ListBullet"/>
      </w:pPr>
      <w:r>
        <w:t>Evidence artifacts are retained in Zoom for at least 12 months.</w:t>
      </w:r>
    </w:p>
    <w:p>
      <w:pPr>
        <w:pStyle w:val="ListBullet"/>
      </w:pPr>
      <w:r>
        <w:t>Escalations should follow the on-call rotation with a response target of 60 minutes.</w:t>
      </w:r>
    </w:p>
    <w:p>
      <w:pPr>
        <w:pStyle w:val="Heading1"/>
      </w:pPr>
      <w:r>
        <w:t>Decisions</w:t>
      </w:r>
    </w:p>
    <w:p>
      <w:r>
        <w:t>All incidents are tagged with severity and mapped to service tiers. Escalations should follow the on-call rotation with a response target of 60 minutes. Teams must log requests in Zoom and track outcomes in Log Aggregation Cluster for audit readiness.</w:t>
      </w:r>
    </w:p>
    <w:p>
      <w:pPr>
        <w:pStyle w:val="ListBullet"/>
      </w:pPr>
      <w:r>
        <w:t>Systems are monitored via ServiceNow and alert routing in Zoom.</w:t>
      </w:r>
    </w:p>
    <w:p>
      <w:pPr>
        <w:pStyle w:val="ListBullet"/>
      </w:pPr>
      <w:r>
        <w:t>This document aligns with SOC 2 requirements and supports EU data residency expectations.</w:t>
      </w:r>
    </w:p>
    <w:p>
      <w:pPr>
        <w:pStyle w:val="ListBullet"/>
      </w:pPr>
      <w:r>
        <w:t>Escalations should follow the on-call rotation with a response target of 60 minutes.</w:t>
      </w:r>
    </w:p>
    <w:p>
      <w:pPr>
        <w:pStyle w:val="Heading1"/>
      </w:pPr>
      <w:r>
        <w:t>Action Items</w:t>
      </w:r>
    </w:p>
    <w:p>
      <w:r>
        <w:t>This document aligns with SOC 2 requirements and supports EU data residency expectations. Teams must log requests in Zoom and track outcomes in Log Aggregation Cluster for audit readiness.</w:t>
      </w:r>
    </w:p>
    <w:p>
      <w:r>
        <w:t>All incidents are tagged with severity and mapped to service tiers. The process integrates with Log Aggregation Cluster and depends on ServiceNow for telemetry signals.</w:t>
      </w:r>
    </w:p>
    <w:p>
      <w:pPr>
        <w:pStyle w:val="ListBullet"/>
      </w:pPr>
      <w:r>
        <w:t>Escalations should follow the on-call rotation with a response target of 60 minutes.</w:t>
      </w:r>
    </w:p>
    <w:p>
      <w:pPr>
        <w:pStyle w:val="ListBullet"/>
      </w:pPr>
      <w:r>
        <w:t>The Information Technology organization uses ServiceNow to enforce consistent service baselines.</w:t>
      </w:r>
    </w:p>
    <w:p>
      <w:pPr>
        <w:pStyle w:val="ListBullet"/>
      </w:pPr>
      <w:r>
        <w:t>All changes require peer review and validation in the Log Aggregation Cluster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