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APAC v2.1</w:t>
      </w:r>
    </w:p>
    <w:p>
      <w:r>
        <w:t>Department: Legal</w:t>
      </w:r>
    </w:p>
    <w:p>
      <w:r>
        <w:t>Author: Avery Brown</w:t>
      </w:r>
    </w:p>
    <w:p>
      <w:r>
        <w:t>Created date: 2025-04-20</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Regional teams in APAC follow the same policy with localized legal review. Audit sampling occurs monthly and is summarized in leadership dashboards.</w:t>
      </w:r>
    </w:p>
    <w:p>
      <w:r>
        <w:t>Audit sampling occurs monthly and is summarized in leadership dashboards. Escalations should follow the on-call rotation with a response target of 45 minutes. Evidence artifacts are retained in Salesforce for at least 12 months. Audit sampling occurs monthly and is summarized in leadership dashboards.</w:t>
      </w:r>
    </w:p>
    <w:p>
      <w:pPr>
        <w:pStyle w:val="ListBullet"/>
      </w:pPr>
      <w:r>
        <w:t>Risk acceptance must be documented and revalidated each quarter.</w:t>
      </w:r>
    </w:p>
    <w:p>
      <w:pPr>
        <w:pStyle w:val="ListBullet"/>
      </w:pPr>
      <w:r>
        <w:t>Regional teams in APAC follow the same policy with localized legal review.</w:t>
      </w:r>
    </w:p>
    <w:p>
      <w:pPr>
        <w:pStyle w:val="ListBullet"/>
      </w:pPr>
      <w:r>
        <w:t>The Legal organization uses Kubernetes to enforce consistent service baselines.</w:t>
      </w:r>
    </w:p>
    <w:p>
      <w:pPr>
        <w:pStyle w:val="Heading1"/>
      </w:pPr>
      <w:r>
        <w:t>Agenda</w:t>
      </w:r>
    </w:p>
    <w:p>
      <w:r>
        <w:t>This document aligns with GDPR requirements and supports APAC data residency expectations. Teams must log requests in Salesforce and track outcomes in Endpoint Management for audit readiness.</w:t>
      </w:r>
    </w:p>
    <w:p>
      <w:r>
        <w:t>Stakeholders include the Support Specialist, service owner, and compliance lead for approvals. Risk acceptance must be documented and revalidated each quarter. Teams must log requests in Salesforce and track outcomes in Endpoint Management for audit readiness.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This document aligns with GDPR requirements and supports APAC data residency expectations.</w:t>
      </w:r>
    </w:p>
    <w:p>
      <w:pPr>
        <w:pStyle w:val="ListBullet"/>
      </w:pPr>
      <w:r>
        <w:t>Teams must log requests in Salesforce and track outcomes in Endpoint Management for audit readiness.</w:t>
      </w:r>
    </w:p>
    <w:p>
      <w:pPr>
        <w:pStyle w:val="Heading1"/>
      </w:pPr>
      <w:r>
        <w:t>Discussion</w:t>
      </w:r>
    </w:p>
    <w:p>
      <w:r>
        <w:t>All incidents are tagged with severity and mapped to service tiers. Stakeholders include the Support Specialist, service owner, and compliance lead for approvals. All incidents are tagged with severity and mapped to service tiers.</w:t>
      </w:r>
    </w:p>
    <w:p>
      <w:r>
        <w:t>Evidence artifacts are retained in Salesforce for at least 12 months. All incidents are tagged with severity and mapped to service tiers. Audit sampling occurs monthly and is summarized in leadership dashboards.</w:t>
      </w:r>
    </w:p>
    <w:p>
      <w:pPr>
        <w:pStyle w:val="ListBullet"/>
      </w:pPr>
      <w:r>
        <w:t>Regional teams in APAC follow the same policy with localized legal review.</w:t>
      </w:r>
    </w:p>
    <w:p>
      <w:pPr>
        <w:pStyle w:val="ListBullet"/>
      </w:pPr>
      <w:r>
        <w:t>Escalations should follow the on-call rotation with a response target of 45 minutes.</w:t>
      </w:r>
    </w:p>
    <w:p>
      <w:pPr>
        <w:pStyle w:val="ListBullet"/>
      </w:pPr>
      <w:r>
        <w:t>The process integrates with Endpoint Management and depends on Kubernetes for telemetry signals.</w:t>
      </w:r>
    </w:p>
    <w:p>
      <w:pPr>
        <w:pStyle w:val="ListBullet"/>
      </w:pPr>
      <w:r>
        <w:t>The process integrates with Endpoint Management and depends on Kubernetes for telemetry signals.</w:t>
      </w:r>
    </w:p>
    <w:p>
      <w:pPr>
        <w:pStyle w:val="ListBullet"/>
      </w:pPr>
      <w:r>
        <w:t>Escalations should follow the on-call rotation with a response target of 45 minutes.</w:t>
      </w:r>
    </w:p>
    <w:p>
      <w:pPr>
        <w:pStyle w:val="ListBullet"/>
      </w:pPr>
      <w:r>
        <w:t>The process integrates with Endpoint Management and depends on Kubernetes for telemetry signals.</w:t>
      </w:r>
    </w:p>
    <w:p>
      <w:pPr>
        <w:pStyle w:val="Heading1"/>
      </w:pPr>
      <w:r>
        <w:t>Decisions</w:t>
      </w:r>
    </w:p>
    <w:p>
      <w:r>
        <w:t>This document aligns with GDPR requirements and supports APAC data residency expectations. Stakeholders include the Support Specialist, service owner, and compliance lead for approvals.</w:t>
      </w:r>
    </w:p>
    <w:p>
      <w:r>
        <w:t>Regional teams in APAC follow the same policy with localized legal review. Regional teams in APAC follow the same policy with localized legal review. We prioritize customer impact, data integrity, and regulatory alignment.</w:t>
      </w:r>
    </w:p>
    <w:p>
      <w:pPr>
        <w:pStyle w:val="ListBullet"/>
      </w:pPr>
      <w:r>
        <w:t>The Legal team coordinates with Support Specialist to maintain operational readiness.</w:t>
      </w:r>
    </w:p>
    <w:p>
      <w:pPr>
        <w:pStyle w:val="ListBullet"/>
      </w:pPr>
      <w:r>
        <w:t>The Legal team coordinates with Support Specialist to maintain operational readiness.</w:t>
      </w:r>
    </w:p>
    <w:p>
      <w:pPr>
        <w:pStyle w:val="ListBullet"/>
      </w:pPr>
      <w:r>
        <w:t>The Legal team coordinates with Support Specialist to maintain operational readiness.</w:t>
      </w:r>
    </w:p>
    <w:p>
      <w:pPr>
        <w:pStyle w:val="ListBullet"/>
      </w:pPr>
      <w:r>
        <w:t>Teams must log requests in Salesforce and track outcomes in Endpoint Management for audit readiness.</w:t>
      </w:r>
    </w:p>
    <w:p>
      <w:pPr>
        <w:pStyle w:val="ListBullet"/>
      </w:pPr>
      <w:r>
        <w:t>The process integrates with Endpoint Management and depends on Kubernetes for telemetry signals.</w:t>
      </w:r>
    </w:p>
    <w:p>
      <w:pPr>
        <w:pStyle w:val="ListBullet"/>
      </w:pPr>
      <w:r>
        <w:t>Regional teams in APAC follow the same policy with localized legal review.</w:t>
      </w:r>
    </w:p>
    <w:p>
      <w:pPr>
        <w:pStyle w:val="Heading1"/>
      </w:pPr>
      <w:r>
        <w:t>Action Items</w:t>
      </w:r>
    </w:p>
    <w:p>
      <w:r>
        <w:t>Escalations should follow the on-call rotation with a response target of 45 minutes. Audit sampling occurs monthly and is summarized in leadership dashboards. We prioritize customer impact, data integrity, and regulatory alignment. This document aligns with GDPR requirements and supports APAC data residency expectations.</w:t>
      </w:r>
    </w:p>
    <w:p>
      <w:r>
        <w:t>The Legal organization uses Kubernetes to enforce consistent service baselines. Evidence artifacts are retained in Salesforce for at least 12 months. This document aligns with GDPR requirements and supports APAC data residency expectations.</w:t>
      </w:r>
    </w:p>
    <w:p>
      <w:pPr>
        <w:pStyle w:val="ListBullet"/>
      </w:pPr>
      <w:r>
        <w:t>Audit sampling occurs monthly and is summarized in leadership dashboards.</w:t>
      </w:r>
    </w:p>
    <w:p>
      <w:pPr>
        <w:pStyle w:val="ListBullet"/>
      </w:pPr>
      <w:r>
        <w:t>The Legal organization uses Kubernetes to enforce consistent service baselines.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