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Meeting Notes - Legal APAC v2.0</w:t>
      </w:r>
    </w:p>
    <w:p>
      <w:r>
        <w:t>Department: Legal</w:t>
      </w:r>
    </w:p>
    <w:p>
      <w:r>
        <w:t>Author: Jordan Smith</w:t>
      </w:r>
    </w:p>
    <w:p>
      <w:r>
        <w:t>Created date: 2026-05-13</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Attendees</w:t>
      </w:r>
    </w:p>
    <w:p>
      <w:r>
        <w:t>Audit sampling occurs monthly and is summarized in leadership dashboards. Risk acceptance must be documented and revalidated each quarter.</w:t>
      </w:r>
    </w:p>
    <w:p>
      <w:pPr>
        <w:pStyle w:val="ListBullet"/>
      </w:pPr>
      <w:r>
        <w:t>Stakeholders include the HR Business Partner, service owner, and compliance lead for approvals.</w:t>
      </w:r>
    </w:p>
    <w:p>
      <w:pPr>
        <w:pStyle w:val="ListBullet"/>
      </w:pPr>
      <w:r>
        <w:t>Escalations should follow the on-call rotation with a response target of 30 minutes.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Complete</w:t>
            </w:r>
          </w:p>
        </w:tc>
      </w:tr>
      <w:tr>
        <w:tc>
          <w:tcPr>
            <w:tcW w:type="dxa" w:w="2880"/>
          </w:tcPr>
          <w:p>
            <w:r>
              <w:t>Backup validation</w:t>
            </w:r>
          </w:p>
        </w:tc>
        <w:tc>
          <w:tcPr>
            <w:tcW w:type="dxa" w:w="2880"/>
          </w:tcPr>
          <w:p>
            <w:r>
              <w:t>Legal</w:t>
            </w:r>
          </w:p>
        </w:tc>
        <w:tc>
          <w:tcPr>
            <w:tcW w:type="dxa" w:w="2880"/>
          </w:tcPr>
          <w:p>
            <w:r>
              <w:t>Planned</w:t>
            </w:r>
          </w:p>
        </w:tc>
      </w:tr>
      <w:tr>
        <w:tc>
          <w:tcPr>
            <w:tcW w:type="dxa" w:w="2880"/>
          </w:tcPr>
          <w:p>
            <w:r>
              <w:t>Patch window</w:t>
            </w:r>
          </w:p>
        </w:tc>
        <w:tc>
          <w:tcPr>
            <w:tcW w:type="dxa" w:w="2880"/>
          </w:tcPr>
          <w:p>
            <w:r>
              <w:t>HR Business Partner</w:t>
            </w:r>
          </w:p>
        </w:tc>
        <w:tc>
          <w:tcPr>
            <w:tcW w:type="dxa" w:w="2880"/>
          </w:tcPr>
          <w:p>
            <w:r>
              <w:t>Blocked</w:t>
            </w:r>
          </w:p>
        </w:tc>
      </w:tr>
    </w:tbl>
    <w:p>
      <w:pPr>
        <w:pStyle w:val="Heading1"/>
      </w:pPr>
      <w:r>
        <w:t>Agenda</w:t>
      </w:r>
    </w:p>
    <w:p>
      <w:r>
        <w:t>Escalations should follow the on-call rotation with a response target of 30 minutes. Evidence artifacts are retained in Workday for at least 24 months. Teams must log requests in Workday and track outcomes in Monitoring Stack for audit readiness.</w:t>
      </w:r>
    </w:p>
    <w:p>
      <w:r>
        <w:t>All changes require peer review and validation in the Monitoring Stack before production promotion. This document aligns with HIPAA requirements and supports APAC data residency expectations. All changes require peer review and validation in the Monitoring Stack before production promotion. This document aligns with HIPAA requirements and supports APAC data residency expectations.</w:t>
      </w:r>
    </w:p>
    <w:p>
      <w:pPr>
        <w:pStyle w:val="ListBullet"/>
      </w:pPr>
      <w:r>
        <w:t>Stakeholders include the HR Business Partner, service owner, and compliance lead for approvals.</w:t>
      </w:r>
    </w:p>
    <w:p>
      <w:pPr>
        <w:pStyle w:val="ListBullet"/>
      </w:pPr>
      <w:r>
        <w:t>All incidents are tagged with severity and mapped to service tiers.</w:t>
      </w:r>
    </w:p>
    <w:p>
      <w:pPr>
        <w:pStyle w:val="ListBullet"/>
      </w:pPr>
      <w:r>
        <w:t>Evidence artifacts are retained in Workday for at least 24 months.</w:t>
      </w:r>
    </w:p>
    <w:p>
      <w:pPr>
        <w:pStyle w:val="ListBullet"/>
      </w:pPr>
      <w:r>
        <w:t>This document aligns with HIPAA requirements and supports APAC data residency expectations.</w:t>
      </w:r>
    </w:p>
    <w:p>
      <w:pPr>
        <w:pStyle w:val="Heading1"/>
      </w:pPr>
      <w:r>
        <w:t>Discussion</w:t>
      </w:r>
    </w:p>
    <w:p>
      <w:r>
        <w:t>Systems are monitored via Okta and alert routing in Workday. The process integrates with Monitoring Stack and depends on Okta for telemetry signals. The Legal organization uses Okta to enforce consistent service baselines. The process integrates with Monitoring Stack and depends on Okta for telemetry signals.</w:t>
      </w:r>
    </w:p>
    <w:p>
      <w:r>
        <w:t>Evidence artifacts are retained in Workday for at least 24 months. Audit sampling occurs monthly and is summarized in leadership dashboards.</w:t>
      </w:r>
    </w:p>
    <w:p>
      <w:pPr>
        <w:pStyle w:val="ListBullet"/>
      </w:pPr>
      <w:r>
        <w:t>This document aligns with HIPAA requirements and supports APAC data residency expectations.</w:t>
      </w:r>
    </w:p>
    <w:p>
      <w:pPr>
        <w:pStyle w:val="ListBullet"/>
      </w:pPr>
      <w:r>
        <w:t>Regional teams in APAC follow the same policy with localized legal review.</w:t>
      </w:r>
    </w:p>
    <w:p>
      <w:pPr>
        <w:pStyle w:val="ListBullet"/>
      </w:pPr>
      <w:r>
        <w:t>Risk acceptance must be documented and revalidated each quarter.</w:t>
      </w:r>
    </w:p>
    <w:p>
      <w:pPr>
        <w:pStyle w:val="ListBullet"/>
      </w:pPr>
      <w:r>
        <w:t>Evidence artifacts are retained in Workday for at least 24 months.</w:t>
      </w:r>
    </w:p>
    <w:p>
      <w:pPr>
        <w:pStyle w:val="Heading1"/>
      </w:pPr>
      <w:r>
        <w:t>Decisions</w:t>
      </w:r>
    </w:p>
    <w:p>
      <w:r>
        <w:t>Systems are monitored via Okta and alert routing in Workday. All changes require peer review and validation in the Monitoring Stack before production promotion. Teams must log requests in Workday and track outcomes in Monitoring Stack for audit readiness.</w:t>
      </w:r>
    </w:p>
    <w:p>
      <w:pPr>
        <w:pStyle w:val="ListBullet"/>
      </w:pPr>
      <w:r>
        <w:t>The Legal team coordinates with HR Business Partner to maintain operational readiness.</w:t>
      </w:r>
    </w:p>
    <w:p>
      <w:pPr>
        <w:pStyle w:val="ListBullet"/>
      </w:pPr>
      <w:r>
        <w:t>Escalations should follow the on-call rotation with a response target of 30 minutes.</w:t>
      </w:r>
    </w:p>
    <w:p>
      <w:pPr>
        <w:pStyle w:val="ListBullet"/>
      </w:pPr>
      <w:r>
        <w:t>Risk acceptance must be documented and revalidated each quarter.</w:t>
      </w:r>
    </w:p>
    <w:p>
      <w:pPr>
        <w:pStyle w:val="ListBullet"/>
      </w:pPr>
      <w:r>
        <w:t>Regional teams in APAC follow the same policy with localized legal review.</w:t>
      </w:r>
    </w:p>
    <w:p>
      <w:pPr>
        <w:pStyle w:val="Heading1"/>
      </w:pPr>
      <w:r>
        <w:t>Action Items</w:t>
      </w:r>
    </w:p>
    <w:p>
      <w:r>
        <w:t>Teams must log requests in Workday and track outcomes in Monitoring Stack for audit readiness. Stakeholders include the HR Business Partner, service owner, and compliance lead for approvals. All incidents are tagged with severity and mapped to service tiers.</w:t>
      </w:r>
    </w:p>
    <w:p>
      <w:r>
        <w:t>Evidence artifacts are retained in Workday for at least 24 months. Risk acceptance must be documented and revalidated each quarter. The Legal organization uses Okta to enforce consistent service baselines.</w:t>
      </w:r>
    </w:p>
    <w:p>
      <w:pPr>
        <w:pStyle w:val="ListBullet"/>
      </w:pPr>
      <w:r>
        <w:t>The process integrates with Monitoring Stack and depends on Okta for telemetry signals.</w:t>
      </w:r>
    </w:p>
    <w:p>
      <w:pPr>
        <w:pStyle w:val="ListBullet"/>
      </w:pPr>
      <w:r>
        <w:t>The process integrates with Monitoring Stack and depends on Okta for telemetry signals.</w:t>
      </w:r>
    </w:p>
    <w:p>
      <w:pPr>
        <w:pStyle w:val="ListBullet"/>
      </w:pPr>
      <w:r>
        <w:t>All incidents are tagged with severity and mapped to service tiers.</w:t>
      </w:r>
    </w:p>
    <w:p>
      <w:pPr>
        <w:pStyle w:val="ListBullet"/>
      </w:pPr>
      <w:r>
        <w:t>The Legal organization uses Okta to enforce consistent service baselines.</w:t>
      </w:r>
    </w:p>
    <w:p>
      <w:pPr>
        <w:pStyle w:val="ListBullet"/>
      </w:pPr>
      <w:r>
        <w:t>Regional teams in APAC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