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Legal EU v1.0</w:t>
      </w:r>
    </w:p>
    <w:p>
      <w:r>
        <w:t>Department: Legal</w:t>
      </w:r>
    </w:p>
    <w:p>
      <w:r>
        <w:t>Author: Alex Garcia</w:t>
      </w:r>
    </w:p>
    <w:p>
      <w:r>
        <w:t>Created date: 2025-10-31</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Systems are monitored via PostgreSQL and alert routing in SAP. The Legal organization uses PostgreSQL to enforce consistent service baselines. Risk acceptance must be documented and revalidated each quarter.</w:t>
      </w:r>
    </w:p>
    <w:p>
      <w:r>
        <w:t>Risk acceptance must be documented and revalidated each quarter. The Legal team coordinates with Security Analyst to maintain operational readiness. Teams must log requests in SAP and track outcomes in Endpoint Management for audit readiness. Risk acceptance must be documented and revalidated each quarter.</w:t>
      </w:r>
    </w:p>
    <w:p>
      <w:pPr>
        <w:pStyle w:val="ListBullet"/>
      </w:pPr>
      <w:r>
        <w:t>Risk acceptance must be documented and revalidated each quarter.</w:t>
      </w:r>
    </w:p>
    <w:p>
      <w:pPr>
        <w:pStyle w:val="ListBullet"/>
      </w:pPr>
      <w:r>
        <w:t>The process integrates with Endpoint Management and depends on PostgreSQL for telemetry signals.</w:t>
      </w:r>
    </w:p>
    <w:p>
      <w:pPr>
        <w:pStyle w:val="ListBullet"/>
      </w:pPr>
      <w:r>
        <w:t>Stakeholders include the Security Analyst, service owner, and compliance lead for approvals.</w:t>
      </w:r>
    </w:p>
    <w:p>
      <w:pPr>
        <w:pStyle w:val="ListBullet"/>
      </w:pPr>
      <w:r>
        <w:t>Risk acceptance must be documented and revalidated each quarter.</w:t>
      </w:r>
    </w:p>
    <w:p>
      <w:pPr>
        <w:pStyle w:val="Heading1"/>
      </w:pPr>
      <w:r>
        <w:t>Agenda</w:t>
      </w:r>
    </w:p>
    <w:p>
      <w:r>
        <w:t>Teams must log requests in SAP and track outcomes in Endpoint Management for audit readiness. Audit sampling occurs monthly and is summarized in leadership dashboards. Teams must log requests in SAP and track outcomes in Endpoint Management for audit readiness.</w:t>
      </w:r>
    </w:p>
    <w:p>
      <w:pPr>
        <w:pStyle w:val="ListBullet"/>
      </w:pPr>
      <w:r>
        <w:t>Regional teams in EU follow the same policy with localized legal review.</w:t>
      </w:r>
    </w:p>
    <w:p>
      <w:pPr>
        <w:pStyle w:val="ListBullet"/>
      </w:pPr>
      <w:r>
        <w:t>Risk acceptance must be documented and revalidated each quarter.</w:t>
      </w:r>
    </w:p>
    <w:p>
      <w:pPr>
        <w:pStyle w:val="ListBullet"/>
      </w:pPr>
      <w:r>
        <w:t>All changes require peer review and validation in the Endpoint Management before production promotion.</w:t>
      </w:r>
    </w:p>
    <w:p>
      <w:pPr>
        <w:pStyle w:val="ListBullet"/>
      </w:pPr>
      <w:r>
        <w:t>All changes require peer review and validation in the Endpoint Management before production promotion.</w:t>
      </w:r>
    </w:p>
    <w:p>
      <w:pPr>
        <w:pStyle w:val="Heading1"/>
      </w:pPr>
      <w:r>
        <w:t>Discussion</w:t>
      </w:r>
    </w:p>
    <w:p>
      <w:r>
        <w:t>Escalations should follow the on-call rotation with a response target of 60 minutes. The process integrates with Endpoint Management and depends on PostgreSQL for telemetry signals.</w:t>
      </w:r>
    </w:p>
    <w:p>
      <w:pPr>
        <w:pStyle w:val="ListBullet"/>
      </w:pPr>
      <w:r>
        <w:t>This document aligns with HIPAA requirements and supports EU data residency expectations.</w:t>
      </w:r>
    </w:p>
    <w:p>
      <w:pPr>
        <w:pStyle w:val="ListBullet"/>
      </w:pPr>
      <w:r>
        <w:t>Teams must log requests in SAP and track outcomes in Endpoint Management for audit readiness.</w:t>
      </w:r>
    </w:p>
    <w:p>
      <w:pPr>
        <w:pStyle w:val="ListBullet"/>
      </w:pPr>
      <w:r>
        <w:t>Risk acceptance must be documented and revalidated each quarter.</w:t>
      </w:r>
    </w:p>
    <w:p>
      <w:pPr>
        <w:pStyle w:val="ListBullet"/>
      </w:pPr>
      <w:r>
        <w:t>Systems are monitored via PostgreSQL and alert routing in SAP.</w:t>
      </w:r>
    </w:p>
    <w:p>
      <w:pPr>
        <w:pStyle w:val="ListBullet"/>
      </w:pPr>
      <w:r>
        <w:t>Evidence artifacts are retained in SAP for at least 36 months.</w:t>
      </w:r>
    </w:p>
    <w:p>
      <w:pPr>
        <w:pStyle w:val="ListBullet"/>
      </w:pPr>
      <w:r>
        <w:t>The Legal organization uses PostgreSQL to enforce consistent service baselines.</w:t>
      </w:r>
    </w:p>
    <w:p>
      <w:pPr>
        <w:pStyle w:val="Heading1"/>
      </w:pPr>
      <w:r>
        <w:t>Decisions</w:t>
      </w:r>
    </w:p>
    <w:p>
      <w:r>
        <w:t>All changes require peer review and validation in the Endpoint Management before production promotion. Stakeholders include the Security Analyst, service owner, and compliance lead for approvals. This document aligns with HIPAA requirements and supports EU data residency expectations.</w:t>
      </w:r>
    </w:p>
    <w:p>
      <w:r>
        <w:t>All incidents are tagged with severity and mapped to service tiers. We prioritize customer impact, data integrity, and regulatory alignment. The process integrates with Endpoint Management and depends on PostgreSQL for telemetry signals. Escalations should follow the on-call rotation with a response target of 60 minutes.</w:t>
      </w:r>
    </w:p>
    <w:p>
      <w:pPr>
        <w:pStyle w:val="ListBullet"/>
      </w:pPr>
      <w:r>
        <w:t>All incidents are tagged with severity and mapped to service tiers.</w:t>
      </w:r>
    </w:p>
    <w:p>
      <w:pPr>
        <w:pStyle w:val="ListBullet"/>
      </w:pPr>
      <w:r>
        <w:t>Teams must log requests in SAP and track outcomes in Endpoint Management for audit readiness.</w:t>
      </w:r>
    </w:p>
    <w:p>
      <w:pPr>
        <w:pStyle w:val="ListBullet"/>
      </w:pPr>
      <w:r>
        <w:t>The process integrates with Endpoint Management and depends on PostgreSQL for telemetry signals.</w:t>
      </w:r>
    </w:p>
    <w:p>
      <w:pPr>
        <w:pStyle w:val="ListBullet"/>
      </w:pPr>
      <w:r>
        <w:t>This document aligns with HIPAA requirements and supports EU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Legal</w:t>
            </w:r>
          </w:p>
        </w:tc>
        <w:tc>
          <w:tcPr>
            <w:tcW w:type="dxa" w:w="2880"/>
          </w:tcPr>
          <w:p>
            <w:r>
              <w:t>Planned</w:t>
            </w:r>
          </w:p>
        </w:tc>
      </w:tr>
      <w:tr>
        <w:tc>
          <w:tcPr>
            <w:tcW w:type="dxa" w:w="2880"/>
          </w:tcPr>
          <w:p>
            <w:r>
              <w:t>Incident drill</w:t>
            </w:r>
          </w:p>
        </w:tc>
        <w:tc>
          <w:tcPr>
            <w:tcW w:type="dxa" w:w="2880"/>
          </w:tcPr>
          <w:p>
            <w:r>
              <w:t>Security Analyst</w:t>
            </w:r>
          </w:p>
        </w:tc>
        <w:tc>
          <w:tcPr>
            <w:tcW w:type="dxa" w:w="2880"/>
          </w:tcPr>
          <w:p>
            <w:r>
              <w:t>Blocked</w:t>
            </w:r>
          </w:p>
        </w:tc>
      </w:tr>
      <w:tr>
        <w:tc>
          <w:tcPr>
            <w:tcW w:type="dxa" w:w="2880"/>
          </w:tcPr>
          <w:p>
            <w:r>
              <w:t>Vendor check</w:t>
            </w:r>
          </w:p>
        </w:tc>
        <w:tc>
          <w:tcPr>
            <w:tcW w:type="dxa" w:w="2880"/>
          </w:tcPr>
          <w:p>
            <w:r>
              <w:t>Security Analyst</w:t>
            </w:r>
          </w:p>
        </w:tc>
        <w:tc>
          <w:tcPr>
            <w:tcW w:type="dxa" w:w="2880"/>
          </w:tcPr>
          <w:p>
            <w:r>
              <w:t>Complete</w:t>
            </w:r>
          </w:p>
        </w:tc>
      </w:tr>
      <w:tr>
        <w:tc>
          <w:tcPr>
            <w:tcW w:type="dxa" w:w="2880"/>
          </w:tcPr>
          <w:p>
            <w:r>
              <w:t>Vendor check</w:t>
            </w:r>
          </w:p>
        </w:tc>
        <w:tc>
          <w:tcPr>
            <w:tcW w:type="dxa" w:w="2880"/>
          </w:tcPr>
          <w:p>
            <w:r>
              <w:t>Operations</w:t>
            </w:r>
          </w:p>
        </w:tc>
        <w:tc>
          <w:tcPr>
            <w:tcW w:type="dxa" w:w="2880"/>
          </w:tcPr>
          <w:p>
            <w:r>
              <w:t>In Progress</w:t>
            </w:r>
          </w:p>
        </w:tc>
      </w:tr>
    </w:tbl>
    <w:p>
      <w:pPr>
        <w:pStyle w:val="Heading1"/>
      </w:pPr>
      <w:r>
        <w:t>Action Items</w:t>
      </w:r>
    </w:p>
    <w:p>
      <w:r>
        <w:t>The process integrates with Endpoint Management and depends on PostgreSQL for telemetry signals. Evidence artifacts are retained in SAP for at least 36 months.</w:t>
      </w:r>
    </w:p>
    <w:p>
      <w:r>
        <w:t>Teams must log requests in SAP and track outcomes in Endpoint Management for audit readiness. Stakeholders include the Security Analyst, service owner, and compliance lead for approvals. Regional teams in EU follow the same policy with localized legal review. Regional teams in EU follow the same policy with localized legal review.</w:t>
      </w:r>
    </w:p>
    <w:p>
      <w:pPr>
        <w:pStyle w:val="ListBullet"/>
      </w:pPr>
      <w:r>
        <w:t>Audit sampling occurs monthly and is summarized in leadership dashboards.</w:t>
      </w:r>
    </w:p>
    <w:p>
      <w:pPr>
        <w:pStyle w:val="ListBullet"/>
      </w:pPr>
      <w:r>
        <w:t>Systems are monitored via PostgreSQL and alert routing in SAP.</w:t>
      </w:r>
    </w:p>
    <w:p>
      <w:pPr>
        <w:pStyle w:val="ListBullet"/>
      </w:pPr>
      <w:r>
        <w:t>Risk acceptance must be documented and revalidated each quarter.</w:t>
      </w:r>
    </w:p>
    <w:p>
      <w:pPr>
        <w:pStyle w:val="ListBullet"/>
      </w:pPr>
      <w:r>
        <w:t>Escalations should follow the on-call rotation with a response target of 60 minutes.</w:t>
      </w:r>
    </w:p>
    <w:p>
      <w:pPr>
        <w:pStyle w:val="ListBullet"/>
      </w:pPr>
      <w:r>
        <w:t>All changes require peer review and validation in the Endpoint Management before production promotion.</w:t>
      </w:r>
    </w:p>
    <w:p>
      <w:pPr>
        <w:pStyle w:val="ListBullet"/>
      </w:pPr>
      <w:r>
        <w:t>Regional teams in EU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