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Operations EU v2.1</w:t>
      </w:r>
    </w:p>
    <w:p>
      <w:r>
        <w:t>Department: Operations</w:t>
      </w:r>
    </w:p>
    <w:p>
      <w:r>
        <w:t>Author: Taylor Brown</w:t>
      </w:r>
    </w:p>
    <w:p>
      <w:r>
        <w:t>Created date: 2024-08-27</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We prioritize customer impact, data integrity, and regulatory alignment. We prioritize customer impact, data integrity, and regulatory alignment.</w:t>
      </w:r>
    </w:p>
    <w:p>
      <w:pPr>
        <w:pStyle w:val="ListBullet"/>
      </w:pPr>
      <w:r>
        <w:t>Stakeholders include the Systems Engineer, service owner, and compliance lead for approvals.</w:t>
      </w:r>
    </w:p>
    <w:p>
      <w:pPr>
        <w:pStyle w:val="ListBullet"/>
      </w:pPr>
      <w:r>
        <w:t>Risk acceptance must be documented and revalidated each quarter.</w:t>
      </w:r>
    </w:p>
    <w:p>
      <w:pPr>
        <w:pStyle w:val="ListBullet"/>
      </w:pPr>
      <w:r>
        <w:t>Stakeholders include the Systems Engineer,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Backup validation</w:t>
            </w:r>
          </w:p>
        </w:tc>
        <w:tc>
          <w:tcPr>
            <w:tcW w:type="dxa" w:w="2880"/>
          </w:tcPr>
          <w:p>
            <w:r>
              <w:t>Systems Engineer</w:t>
            </w:r>
          </w:p>
        </w:tc>
        <w:tc>
          <w:tcPr>
            <w:tcW w:type="dxa" w:w="2880"/>
          </w:tcPr>
          <w:p>
            <w:r>
              <w:t>Blocked</w:t>
            </w:r>
          </w:p>
        </w:tc>
      </w:tr>
      <w:tr>
        <w:tc>
          <w:tcPr>
            <w:tcW w:type="dxa" w:w="2880"/>
          </w:tcPr>
          <w:p>
            <w:r>
              <w:t>Patch window</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p>
      <w:pPr>
        <w:pStyle w:val="Heading1"/>
      </w:pPr>
      <w:r>
        <w:t>Agenda</w:t>
      </w:r>
    </w:p>
    <w:p>
      <w:r>
        <w:t>This document aligns with PCI DSS requirements and supports EU data residency expectations. Risk acceptance must be documented and revalidated each quarter. Regional teams in EU follow the same policy with localized legal review.</w:t>
      </w:r>
    </w:p>
    <w:p>
      <w:r>
        <w:t>The process integrates with Endpoint Management and depends on GCP for telemetry signals. Teams must log requests in GitHub Enterprise and track outcomes in Endpoint Management for audit readiness. All changes require peer review and validation in the Endpoint Management before production promotion.</w:t>
      </w:r>
    </w:p>
    <w:p>
      <w:pPr>
        <w:pStyle w:val="ListBullet"/>
      </w:pPr>
      <w:r>
        <w:t>All incidents are tagged with severity and mapped to service tiers.</w:t>
      </w:r>
    </w:p>
    <w:p>
      <w:pPr>
        <w:pStyle w:val="ListBullet"/>
      </w:pPr>
      <w:r>
        <w:t>The Operations organization uses GCP to enforce consistent service baselines.</w:t>
      </w:r>
    </w:p>
    <w:p>
      <w:pPr>
        <w:pStyle w:val="ListBullet"/>
      </w:pPr>
      <w:r>
        <w:t>Teams must log requests in GitHub Enterprise and track outcomes in Endpoint Management for audit readiness.</w:t>
      </w:r>
    </w:p>
    <w:p>
      <w:pPr>
        <w:pStyle w:val="Heading1"/>
      </w:pPr>
      <w:r>
        <w:t>Discussion</w:t>
      </w:r>
    </w:p>
    <w:p>
      <w:r>
        <w:t>Systems are monitored via GCP and alert routing in GitHub Enterprise. This document aligns with PCI DSS requirements and supports EU data residency expectations. The Operations organization uses GCP to enforce consistent service baselines.</w:t>
      </w:r>
    </w:p>
    <w:p>
      <w:r>
        <w:t>Stakeholders include the Systems Engineer, service owner, and compliance lead for approvals. Regional teams in EU follow the same policy with localized legal review. Evidence artifacts are retained in GitHub Enterprise for at least 12 months.</w:t>
      </w:r>
    </w:p>
    <w:p>
      <w:pPr>
        <w:pStyle w:val="ListBullet"/>
      </w:pPr>
      <w:r>
        <w:t>Systems are monitored via GCP and alert routing in GitHub Enterprise.</w:t>
      </w:r>
    </w:p>
    <w:p>
      <w:pPr>
        <w:pStyle w:val="ListBullet"/>
      </w:pPr>
      <w:r>
        <w:t>Escalations should follow the on-call rotation with a response target of 45 minutes.</w:t>
      </w:r>
    </w:p>
    <w:p>
      <w:pPr>
        <w:pStyle w:val="ListBullet"/>
      </w:pPr>
      <w:r>
        <w:t>The Operations team coordinates with Systems Engineer to maintain operational readiness.</w:t>
      </w:r>
    </w:p>
    <w:p>
      <w:pPr>
        <w:pStyle w:val="ListBullet"/>
      </w:pPr>
      <w:r>
        <w:t>Evidence artifacts are retained in GitHub Enterprise for at least 12 months.</w:t>
      </w:r>
    </w:p>
    <w:p>
      <w:pPr>
        <w:pStyle w:val="ListBullet"/>
      </w:pPr>
      <w:r>
        <w:t>Risk acceptance must be documented and revalidated each quarter.</w:t>
      </w:r>
    </w:p>
    <w:p>
      <w:pPr>
        <w:pStyle w:val="Heading1"/>
      </w:pPr>
      <w:r>
        <w:t>Decisions</w:t>
      </w:r>
    </w:p>
    <w:p>
      <w:r>
        <w:t>Audit sampling occurs monthly and is summarized in leadership dashboards. Risk acceptance must be documented and revalidated each quarter. Teams must log requests in GitHub Enterprise and track outcomes in Endpoint Management for audit readiness. All changes require peer review and validation in the Endpoint Management before production promotion.</w:t>
      </w:r>
    </w:p>
    <w:p>
      <w:r>
        <w:t>The process integrates with Endpoint Management and depends on GCP for telemetry signals. We prioritize customer impact, data integrity, and regulatory alignment. The Operations organization uses GCP to enforce consistent service baselines.</w:t>
      </w:r>
    </w:p>
    <w:p>
      <w:pPr>
        <w:pStyle w:val="ListBullet"/>
      </w:pPr>
      <w:r>
        <w:t>Systems are monitored via GCP and alert routing in GitHub Enterprise.</w:t>
      </w:r>
    </w:p>
    <w:p>
      <w:pPr>
        <w:pStyle w:val="ListBullet"/>
      </w:pPr>
      <w:r>
        <w:t>Audit sampling occurs monthly and is summarized in leadership dashboards.</w:t>
      </w:r>
    </w:p>
    <w:p>
      <w:pPr>
        <w:pStyle w:val="ListBullet"/>
      </w:pPr>
      <w:r>
        <w:t>Evidence artifacts are retained in GitHub Enterprise for at least 12 months.</w:t>
      </w:r>
    </w:p>
    <w:p>
      <w:pPr>
        <w:pStyle w:val="ListBullet"/>
      </w:pPr>
      <w:r>
        <w:t>This document aligns with PCI DSS requirements and supports EU data residency expectations.</w:t>
      </w:r>
    </w:p>
    <w:p>
      <w:pPr>
        <w:pStyle w:val="ListBullet"/>
      </w:pPr>
      <w:r>
        <w:t>Teams must log requests in GitHub Enterprise and track outcomes in Endpoint Management for audit readiness.</w:t>
      </w:r>
    </w:p>
    <w:p>
      <w:pPr>
        <w:pStyle w:val="Heading1"/>
      </w:pPr>
      <w:r>
        <w:t>Action Items</w:t>
      </w:r>
    </w:p>
    <w:p>
      <w:r>
        <w:t>All changes require peer review and validation in the Endpoint Management before production promotion. All changes require peer review and validation in the Endpoint Management before production promotion.</w:t>
      </w:r>
    </w:p>
    <w:p>
      <w:pPr>
        <w:pStyle w:val="ListBullet"/>
      </w:pPr>
      <w:r>
        <w:t>This document aligns with PCI DSS requirements and supports EU data residency expectations.</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All changes require peer review and validation in the Endpoint Management before production promotion.</w:t>
      </w:r>
    </w:p>
    <w:p>
      <w:pPr>
        <w:pStyle w:val="ListBullet"/>
      </w:pPr>
      <w:r>
        <w:t>Systems are monitored via GCP and alert routing in GitHub Enterprise.</w:t>
      </w:r>
    </w:p>
    <w:p>
      <w:pPr>
        <w:pStyle w:val="ListBullet"/>
      </w:pPr>
      <w:r>
        <w:t>All changes require peer review and validation in the Endpoint Management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