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Operations US v1.2</w:t>
      </w:r>
    </w:p>
    <w:p>
      <w:r>
        <w:t>Department: Operations</w:t>
      </w:r>
    </w:p>
    <w:p>
      <w:r>
        <w:t>Author: Jordan Smith</w:t>
      </w:r>
    </w:p>
    <w:p>
      <w:r>
        <w:t>Created date: 2024-04-06</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Evidence artifacts are retained in Workday for at least 18 months. This document aligns with PCI DSS requirements and supports US data residency expectations. The Operations team coordinates with Platform Engineer to maintain operational readiness.</w:t>
      </w:r>
    </w:p>
    <w:p>
      <w:r>
        <w:t>Stakeholders include the Platform Engineer, service owner, and compliance lead for approvals. The process integrates with Ticketing Platform and depends on ServiceNow for telemetry signals. We prioritize customer impact, data integrity, and regulatory alignment. Stakeholders include the Platform Engineer, service owner, and compliance lead for approvals.</w:t>
      </w:r>
    </w:p>
    <w:p>
      <w:pPr>
        <w:pStyle w:val="ListBullet"/>
      </w:pPr>
      <w:r>
        <w:t>We prioritize customer impact, data integrity, and regulatory alignment.</w:t>
      </w:r>
    </w:p>
    <w:p>
      <w:pPr>
        <w:pStyle w:val="ListBullet"/>
      </w:pPr>
      <w:r>
        <w:t>Stakeholders include the Platform Engineer, service owner, and compliance lead for approvals.</w:t>
      </w:r>
    </w:p>
    <w:p>
      <w:pPr>
        <w:pStyle w:val="ListBullet"/>
      </w:pPr>
      <w:r>
        <w:t>We prioritize customer impact, data integrity, and regulatory alignment.</w:t>
      </w:r>
    </w:p>
    <w:p>
      <w:pPr>
        <w:pStyle w:val="ListBullet"/>
      </w:pPr>
      <w:r>
        <w:t>Stakeholders include the Platform Engineer, service owner, and compliance lead for approvals.</w:t>
      </w:r>
    </w:p>
    <w:p>
      <w:pPr>
        <w:pStyle w:val="ListBullet"/>
      </w:pPr>
      <w:r>
        <w:t>Teams must log requests in Workday and track outcomes in Ticketing Platform for audit readiness.</w:t>
      </w:r>
    </w:p>
    <w:p>
      <w:pPr>
        <w:pStyle w:val="Heading1"/>
      </w:pPr>
      <w:r>
        <w:t>Agenda</w:t>
      </w:r>
    </w:p>
    <w:p>
      <w:r>
        <w:t>This document aligns with PCI DSS requirements and supports US data residency expectations. This document aligns with PCI DSS requirements and supports US data residency expectations. Teams must log requests in Workday and track outcomes in Ticketing Platform for audit readiness. We prioritize customer impact, data integrity, and regulatory alignment.</w:t>
      </w:r>
    </w:p>
    <w:p>
      <w:r>
        <w:t>Teams must log requests in Workday and track outcomes in Ticketing Platform for audit readiness. Evidence artifacts are retained in Workday for at least 18 months. Evidence artifacts are retained in Workday for at least 18 months.</w:t>
      </w:r>
    </w:p>
    <w:p>
      <w:pPr>
        <w:pStyle w:val="ListBullet"/>
      </w:pPr>
      <w:r>
        <w:t>Escalations should follow the on-call rotation with a response target of 15 minutes.</w:t>
      </w:r>
    </w:p>
    <w:p>
      <w:pPr>
        <w:pStyle w:val="ListBullet"/>
      </w:pPr>
      <w:r>
        <w:t>Evidence artifacts are retained in Workday for at least 18 months.</w:t>
      </w:r>
    </w:p>
    <w:p>
      <w:pPr>
        <w:pStyle w:val="ListBullet"/>
      </w:pPr>
      <w:r>
        <w:t>Evidence artifacts are retained in Workday for at least 18 months.</w:t>
      </w:r>
    </w:p>
    <w:p>
      <w:pPr>
        <w:pStyle w:val="ListBullet"/>
      </w:pPr>
      <w:r>
        <w:t>Risk acceptance must be documented and revalidated each quarter.</w:t>
      </w:r>
    </w:p>
    <w:p>
      <w:pPr>
        <w:pStyle w:val="ListBullet"/>
      </w:pPr>
      <w:r>
        <w:t>Risk acceptance must be documented and revalidated each quarter.</w:t>
      </w:r>
    </w:p>
    <w:p>
      <w:pPr>
        <w:pStyle w:val="Heading1"/>
      </w:pPr>
      <w:r>
        <w:t>Discussion</w:t>
      </w:r>
    </w:p>
    <w:p>
      <w:r>
        <w:t>The process integrates with Ticketing Platform and depends on ServiceNow for telemetry signals. Audit sampling occurs monthly and is summarized in leadership dashboards. Evidence artifacts are retained in Workday for at least 18 months. This document aligns with PCI DSS requirements and supports US data residency expectations.</w:t>
      </w:r>
    </w:p>
    <w:p>
      <w:r>
        <w:t>All incidents are tagged with severity and mapped to service tiers. The process integrates with Ticketing Platform and depends on ServiceNow for telemetry signals.</w:t>
      </w:r>
    </w:p>
    <w:p>
      <w:pPr>
        <w:pStyle w:val="ListBullet"/>
      </w:pPr>
      <w:r>
        <w:t>Stakeholders include the Platform Engineer, service owner, and compliance lead for approvals.</w:t>
      </w:r>
    </w:p>
    <w:p>
      <w:pPr>
        <w:pStyle w:val="ListBullet"/>
      </w:pPr>
      <w:r>
        <w:t>All incidents are tagged with severity and mapped to service tiers.</w:t>
      </w:r>
    </w:p>
    <w:p>
      <w:pPr>
        <w:pStyle w:val="ListBullet"/>
      </w:pPr>
      <w:r>
        <w:t>Regional teams in US follow the same policy with localized legal review.</w:t>
      </w:r>
    </w:p>
    <w:p>
      <w:pPr>
        <w:pStyle w:val="ListBullet"/>
      </w:pPr>
      <w:r>
        <w:t>We prioritize customer impact, data integrity, and regulatory alignment.</w:t>
      </w:r>
    </w:p>
    <w:p>
      <w:pPr>
        <w:pStyle w:val="Heading1"/>
      </w:pPr>
      <w:r>
        <w:t>Decisions</w:t>
      </w:r>
    </w:p>
    <w:p>
      <w:r>
        <w:t>Systems are monitored via ServiceNow and alert routing in Workday. The process integrates with Ticketing Platform and depends on ServiceNow for telemetry signals.</w:t>
      </w:r>
    </w:p>
    <w:p>
      <w:r>
        <w:t>Audit sampling occurs monthly and is summarized in leadership dashboards. Stakeholders include the Platform Engineer, service owner, and compliance lead for approvals. All changes require peer review and validation in the Ticketing Platform before production promotion.</w:t>
      </w:r>
    </w:p>
    <w:p>
      <w:pPr>
        <w:pStyle w:val="ListBullet"/>
      </w:pPr>
      <w:r>
        <w:t>The process integrates with Ticketing Platform and depends on ServiceNow for telemetry signals.</w:t>
      </w:r>
    </w:p>
    <w:p>
      <w:pPr>
        <w:pStyle w:val="ListBullet"/>
      </w:pPr>
      <w:r>
        <w:t>The Operations team coordinates with Platform Engineer to maintain operational readiness.</w:t>
      </w:r>
    </w:p>
    <w:p>
      <w:pPr>
        <w:pStyle w:val="ListBullet"/>
      </w:pPr>
      <w:r>
        <w:t>Evidence artifacts are retained in Workday for at least 18 months.</w:t>
      </w:r>
    </w:p>
    <w:p>
      <w:pPr>
        <w:pStyle w:val="Heading1"/>
      </w:pPr>
      <w:r>
        <w:t>Action Items</w:t>
      </w:r>
    </w:p>
    <w:p>
      <w:r>
        <w:t>Teams must log requests in Workday and track outcomes in Ticketing Platform for audit readiness. The process integrates with Ticketing Platform and depends on ServiceNow for telemetry signals.</w:t>
      </w:r>
    </w:p>
    <w:p>
      <w:r>
        <w:t>Escalations should follow the on-call rotation with a response target of 15 minutes. We prioritize customer impact, data integrity, and regulatory alignment. Stakeholders include the Platform Engineer, service owner, and compliance lead for approvals. The Operations team coordinates with Platform Engineer to maintain operational readiness.</w:t>
      </w:r>
    </w:p>
    <w:p>
      <w:pPr>
        <w:pStyle w:val="ListBullet"/>
      </w:pPr>
      <w:r>
        <w:t>Systems are monitored via ServiceNow and alert routing in Workday.</w:t>
      </w:r>
    </w:p>
    <w:p>
      <w:pPr>
        <w:pStyle w:val="ListBullet"/>
      </w:pPr>
      <w:r>
        <w:t>Risk acceptance must be documented and revalidated each quarter.</w:t>
      </w:r>
    </w:p>
    <w:p>
      <w:pPr>
        <w:pStyle w:val="ListBullet"/>
      </w:pPr>
      <w:r>
        <w:t>Escalations should follow the on-call rotation with a response target of 15 minutes.</w:t>
      </w:r>
    </w:p>
    <w:p>
      <w:pPr>
        <w:pStyle w:val="ListBullet"/>
      </w:pPr>
      <w:r>
        <w:t>The process integrates with Ticketing Platform and depends on ServiceNow for telemetry signals.</w:t>
      </w:r>
    </w:p>
    <w:p>
      <w:pPr>
        <w:pStyle w:val="ListBullet"/>
      </w:pPr>
      <w:r>
        <w:t>Escalations should follow the on-call rotation with a response target of 15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Patch window</w:t>
            </w:r>
          </w:p>
        </w:tc>
        <w:tc>
          <w:tcPr>
            <w:tcW w:type="dxa" w:w="2880"/>
          </w:tcPr>
          <w:p>
            <w:r>
              <w:t>Operations</w:t>
            </w:r>
          </w:p>
        </w:tc>
        <w:tc>
          <w:tcPr>
            <w:tcW w:type="dxa" w:w="2880"/>
          </w:tcPr>
          <w:p>
            <w:r>
              <w:t>Planned</w:t>
            </w:r>
          </w:p>
        </w:tc>
      </w:tr>
      <w:tr>
        <w:tc>
          <w:tcPr>
            <w:tcW w:type="dxa" w:w="2880"/>
          </w:tcPr>
          <w:p>
            <w:r>
              <w:t>Incident drill</w:t>
            </w:r>
          </w:p>
        </w:tc>
        <w:tc>
          <w:tcPr>
            <w:tcW w:type="dxa" w:w="2880"/>
          </w:tcPr>
          <w:p>
            <w:r>
              <w:t>Platform Engineer</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