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Operations US v1.0</w:t>
      </w:r>
    </w:p>
    <w:p>
      <w:r>
        <w:t>Department: Operations</w:t>
      </w:r>
    </w:p>
    <w:p>
      <w:r>
        <w:t>Author: Jordan Nguyen</w:t>
      </w:r>
    </w:p>
    <w:p>
      <w:r>
        <w:t>Created date: 2025-06-16</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The Operations organization uses Datadog to enforce consistent service baselines. Stakeholders include the Product Manager, service owner, and compliance lead for approvals. Stakeholders include the Product Manager, service owner, and compliance lead for approvals.</w:t>
      </w:r>
    </w:p>
    <w:p>
      <w:r>
        <w:t>Risk acceptance must be documented and revalidated each quarter. This document aligns with SOX requirements and supports US data residency expectations.</w:t>
      </w:r>
    </w:p>
    <w:p>
      <w:pPr>
        <w:pStyle w:val="ListBullet"/>
      </w:pPr>
      <w:r>
        <w:t>The Operations organization uses Datadog to enforce consistent service baselines.</w:t>
      </w:r>
    </w:p>
    <w:p>
      <w:pPr>
        <w:pStyle w:val="ListBullet"/>
      </w:pPr>
      <w:r>
        <w:t>We prioritize customer impact, data integrity, and regulatory alignment.</w:t>
      </w:r>
    </w:p>
    <w:p>
      <w:pPr>
        <w:pStyle w:val="ListBullet"/>
      </w:pPr>
      <w:r>
        <w:t>This document aligns with SOX requirements and supports US data residency expectations.</w:t>
      </w:r>
    </w:p>
    <w:p>
      <w:pPr>
        <w:pStyle w:val="ListBullet"/>
      </w:pPr>
      <w:r>
        <w:t>The process integrates with Document Repository and depends on Datadog for telemetry signals.</w:t>
      </w:r>
    </w:p>
    <w:p>
      <w:pPr>
        <w:pStyle w:val="ListBullet"/>
      </w:pPr>
      <w:r>
        <w:t>Risk acceptance must be documented and revalidated each quarter.</w:t>
      </w:r>
    </w:p>
    <w:p>
      <w:pPr>
        <w:pStyle w:val="ListBullet"/>
      </w:pPr>
      <w:r>
        <w:t>This document aligns with SOX requirements and supports US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Product Manager</w:t>
            </w:r>
          </w:p>
        </w:tc>
        <w:tc>
          <w:tcPr>
            <w:tcW w:type="dxa" w:w="2880"/>
          </w:tcPr>
          <w:p>
            <w:r>
              <w:t>Blocked</w:t>
            </w:r>
          </w:p>
        </w:tc>
      </w:tr>
      <w:tr>
        <w:tc>
          <w:tcPr>
            <w:tcW w:type="dxa" w:w="2880"/>
          </w:tcPr>
          <w:p>
            <w:r>
              <w:t>Incident drill</w:t>
            </w:r>
          </w:p>
        </w:tc>
        <w:tc>
          <w:tcPr>
            <w:tcW w:type="dxa" w:w="2880"/>
          </w:tcPr>
          <w:p>
            <w:r>
              <w:t>Product Manager</w:t>
            </w:r>
          </w:p>
        </w:tc>
        <w:tc>
          <w:tcPr>
            <w:tcW w:type="dxa" w:w="2880"/>
          </w:tcPr>
          <w:p>
            <w:r>
              <w:t>In Progress</w:t>
            </w:r>
          </w:p>
        </w:tc>
      </w:tr>
      <w:tr>
        <w:tc>
          <w:tcPr>
            <w:tcW w:type="dxa" w:w="2880"/>
          </w:tcPr>
          <w:p>
            <w:r>
              <w:t>Vendor check</w:t>
            </w:r>
          </w:p>
        </w:tc>
        <w:tc>
          <w:tcPr>
            <w:tcW w:type="dxa" w:w="2880"/>
          </w:tcPr>
          <w:p>
            <w:r>
              <w:t>Security</w:t>
            </w:r>
          </w:p>
        </w:tc>
        <w:tc>
          <w:tcPr>
            <w:tcW w:type="dxa" w:w="2880"/>
          </w:tcPr>
          <w:p>
            <w:r>
              <w:t>Blocked</w:t>
            </w:r>
          </w:p>
        </w:tc>
      </w:tr>
    </w:tbl>
    <w:p>
      <w:pPr>
        <w:pStyle w:val="Heading1"/>
      </w:pPr>
      <w:r>
        <w:t>Agenda</w:t>
      </w:r>
    </w:p>
    <w:p>
      <w:r>
        <w:t>The Operations organization uses Datadog to enforce consistent service baselines. Escalations should follow the on-call rotation with a response target of 15 minutes. Evidence artifacts are retained in Slack for at least 36 months.</w:t>
      </w:r>
    </w:p>
    <w:p>
      <w:r>
        <w:t>Teams must log requests in Slack and track outcomes in Document Repository for audit readiness. Risk acceptance must be documented and revalidated each quarter. The process integrates with Document Repository and depends on Datadog for telemetry signals.</w:t>
      </w:r>
    </w:p>
    <w:p>
      <w:pPr>
        <w:pStyle w:val="ListBullet"/>
      </w:pPr>
      <w:r>
        <w:t>Evidence artifacts are retained in Slack for at least 36 months.</w:t>
      </w:r>
    </w:p>
    <w:p>
      <w:pPr>
        <w:pStyle w:val="ListBullet"/>
      </w:pPr>
      <w:r>
        <w:t>The Operations team coordinates with Product Manager to maintain operational readiness.</w:t>
      </w:r>
    </w:p>
    <w:p>
      <w:pPr>
        <w:pStyle w:val="ListBullet"/>
      </w:pPr>
      <w:r>
        <w:t>Stakeholders include the Product Manager, service owner, and compliance lead for approvals.</w:t>
      </w:r>
    </w:p>
    <w:p>
      <w:pPr>
        <w:pStyle w:val="ListBullet"/>
      </w:pPr>
      <w:r>
        <w:t>All changes require peer review and validation in the Document Repository before production promotion.</w:t>
      </w:r>
    </w:p>
    <w:p>
      <w:pPr>
        <w:pStyle w:val="ListBullet"/>
      </w:pPr>
      <w:r>
        <w:t>Regional teams in US follow the same policy with localized legal review.</w:t>
      </w:r>
    </w:p>
    <w:p>
      <w:pPr>
        <w:pStyle w:val="ListBullet"/>
      </w:pPr>
      <w:r>
        <w:t>Systems are monitored via Datadog and alert routing in Slack.</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Product Manager</w:t>
            </w:r>
          </w:p>
        </w:tc>
        <w:tc>
          <w:tcPr>
            <w:tcW w:type="dxa" w:w="2880"/>
          </w:tcPr>
          <w:p>
            <w:r>
              <w:t>Planned</w:t>
            </w:r>
          </w:p>
        </w:tc>
      </w:tr>
      <w:tr>
        <w:tc>
          <w:tcPr>
            <w:tcW w:type="dxa" w:w="2880"/>
          </w:tcPr>
          <w:p>
            <w:r>
              <w:t>Vendor check</w:t>
            </w:r>
          </w:p>
        </w:tc>
        <w:tc>
          <w:tcPr>
            <w:tcW w:type="dxa" w:w="2880"/>
          </w:tcPr>
          <w:p>
            <w:r>
              <w:t>Operations</w:t>
            </w:r>
          </w:p>
        </w:tc>
        <w:tc>
          <w:tcPr>
            <w:tcW w:type="dxa" w:w="2880"/>
          </w:tcPr>
          <w:p>
            <w:r>
              <w:t>Complete</w:t>
            </w:r>
          </w:p>
        </w:tc>
      </w:tr>
    </w:tbl>
    <w:p>
      <w:pPr>
        <w:pStyle w:val="Heading1"/>
      </w:pPr>
      <w:r>
        <w:t>Discussion</w:t>
      </w:r>
    </w:p>
    <w:p>
      <w:r>
        <w:t>Teams must log requests in Slack and track outcomes in Document Repository for audit readiness. This document aligns with SOX requirements and supports US data residency expectations.</w:t>
      </w:r>
    </w:p>
    <w:p>
      <w:r>
        <w:t>Regional teams in US follow the same policy with localized legal review. The Operations organization uses Datadog to enforce consistent service baselines. All incidents are tagged with severity and mapped to service tiers. Systems are monitored via Datadog and alert routing in Slack.</w:t>
      </w:r>
    </w:p>
    <w:p>
      <w:pPr>
        <w:pStyle w:val="ListBullet"/>
      </w:pPr>
      <w:r>
        <w:t>This document aligns with SOX requirements and supports US data residency expectations.</w:t>
      </w:r>
    </w:p>
    <w:p>
      <w:pPr>
        <w:pStyle w:val="ListBullet"/>
      </w:pPr>
      <w:r>
        <w:t>This document aligns with SOX requirements and supports US data residency expectations.</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All incidents are tagged with severity and mapped to service tiers.</w:t>
      </w:r>
    </w:p>
    <w:p>
      <w:pPr>
        <w:pStyle w:val="Heading1"/>
      </w:pPr>
      <w:r>
        <w:t>Decisions</w:t>
      </w:r>
    </w:p>
    <w:p>
      <w:r>
        <w:t>The process integrates with Document Repository and depends on Datadog for telemetry signals. This document aligns with SOX requirements and supports US data residency expectations.</w:t>
      </w:r>
    </w:p>
    <w:p>
      <w:pPr>
        <w:pStyle w:val="ListBullet"/>
      </w:pPr>
      <w:r>
        <w:t>All incidents are tagged with severity and mapped to service tiers.</w:t>
      </w:r>
    </w:p>
    <w:p>
      <w:pPr>
        <w:pStyle w:val="ListBullet"/>
      </w:pPr>
      <w:r>
        <w:t>Systems are monitored via Datadog and alert routing in Slack.</w:t>
      </w:r>
    </w:p>
    <w:p>
      <w:pPr>
        <w:pStyle w:val="ListBullet"/>
      </w:pPr>
      <w:r>
        <w:t>All changes require peer review and validation in the Document Repository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Product Manager</w:t>
            </w:r>
          </w:p>
        </w:tc>
        <w:tc>
          <w:tcPr>
            <w:tcW w:type="dxa" w:w="2880"/>
          </w:tcPr>
          <w:p>
            <w:r>
              <w:t>Planned</w:t>
            </w:r>
          </w:p>
        </w:tc>
      </w:tr>
      <w:tr>
        <w:tc>
          <w:tcPr>
            <w:tcW w:type="dxa" w:w="2880"/>
          </w:tcPr>
          <w:p>
            <w:r>
              <w:t>Incident drill</w:t>
            </w:r>
          </w:p>
        </w:tc>
        <w:tc>
          <w:tcPr>
            <w:tcW w:type="dxa" w:w="2880"/>
          </w:tcPr>
          <w:p>
            <w:r>
              <w:t>Security</w:t>
            </w:r>
          </w:p>
        </w:tc>
        <w:tc>
          <w:tcPr>
            <w:tcW w:type="dxa" w:w="2880"/>
          </w:tcPr>
          <w:p>
            <w:r>
              <w:t>Planned</w:t>
            </w:r>
          </w:p>
        </w:tc>
      </w:tr>
      <w:tr>
        <w:tc>
          <w:tcPr>
            <w:tcW w:type="dxa" w:w="2880"/>
          </w:tcPr>
          <w:p>
            <w:r>
              <w:t>Incident drill</w:t>
            </w:r>
          </w:p>
        </w:tc>
        <w:tc>
          <w:tcPr>
            <w:tcW w:type="dxa" w:w="2880"/>
          </w:tcPr>
          <w:p>
            <w:r>
              <w:t>Operations</w:t>
            </w:r>
          </w:p>
        </w:tc>
        <w:tc>
          <w:tcPr>
            <w:tcW w:type="dxa" w:w="2880"/>
          </w:tcPr>
          <w:p>
            <w:r>
              <w:t>In Progress</w:t>
            </w:r>
          </w:p>
        </w:tc>
      </w:tr>
    </w:tbl>
    <w:p>
      <w:pPr>
        <w:pStyle w:val="Heading1"/>
      </w:pPr>
      <w:r>
        <w:t>Action Items</w:t>
      </w:r>
    </w:p>
    <w:p>
      <w:r>
        <w:t>The Operations organization uses Datadog to enforce consistent service baselines. Evidence artifacts are retained in Slack for at least 36 months. We prioritize customer impact, data integrity, and regulatory alignment.</w:t>
      </w:r>
    </w:p>
    <w:p>
      <w:r>
        <w:t>Teams must log requests in Slack and track outcomes in Document Repository for audit readiness. All changes require peer review and validation in the Document Repository before production promotion. This document aligns with SOX requirements and supports US data residency expectations. The Operations team coordinates with Product Manager to maintain operational readiness.</w:t>
      </w:r>
    </w:p>
    <w:p>
      <w:pPr>
        <w:pStyle w:val="ListBullet"/>
      </w:pPr>
      <w:r>
        <w:t>Teams must log requests in Slack and track outcomes in Document Repository for audit readiness.</w:t>
      </w:r>
    </w:p>
    <w:p>
      <w:pPr>
        <w:pStyle w:val="ListBullet"/>
      </w:pPr>
      <w:r>
        <w:t>Audit sampling occurs monthly and is summarized in leadership dashboards.</w:t>
      </w:r>
    </w:p>
    <w:p>
      <w:pPr>
        <w:pStyle w:val="ListBullet"/>
      </w:pPr>
      <w:r>
        <w:t>Teams must log requests in Slack and track outcomes in Document Repository for audit readiness.</w:t>
      </w:r>
    </w:p>
    <w:p>
      <w:pPr>
        <w:pStyle w:val="ListBullet"/>
      </w:pPr>
      <w:r>
        <w:t>Regional teams in US follow the same policy with localized legal review.</w:t>
      </w:r>
    </w:p>
    <w:p>
      <w:pPr>
        <w:pStyle w:val="ListBullet"/>
      </w:pPr>
      <w:r>
        <w:t>The process integrates with Document Repository and depends on Datadog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Complete</w:t>
            </w:r>
          </w:p>
        </w:tc>
      </w:tr>
      <w:tr>
        <w:tc>
          <w:tcPr>
            <w:tcW w:type="dxa" w:w="2880"/>
          </w:tcPr>
          <w:p>
            <w:r>
              <w:t>Access review</w:t>
            </w:r>
          </w:p>
        </w:tc>
        <w:tc>
          <w:tcPr>
            <w:tcW w:type="dxa" w:w="2880"/>
          </w:tcPr>
          <w:p>
            <w:r>
              <w:t>Operations</w:t>
            </w:r>
          </w:p>
        </w:tc>
        <w:tc>
          <w:tcPr>
            <w:tcW w:type="dxa" w:w="2880"/>
          </w:tcPr>
          <w:p>
            <w:r>
              <w:t>Blocked</w:t>
            </w:r>
          </w:p>
        </w:tc>
      </w:tr>
      <w:tr>
        <w:tc>
          <w:tcPr>
            <w:tcW w:type="dxa" w:w="2880"/>
          </w:tcPr>
          <w:p>
            <w:r>
              <w:t>Incident drill</w:t>
            </w:r>
          </w:p>
        </w:tc>
        <w:tc>
          <w:tcPr>
            <w:tcW w:type="dxa" w:w="2880"/>
          </w:tcPr>
          <w:p>
            <w:r>
              <w:t>Product Manager</w:t>
            </w:r>
          </w:p>
        </w:tc>
        <w:tc>
          <w:tcPr>
            <w:tcW w:type="dxa" w:w="2880"/>
          </w:tcPr>
          <w:p>
            <w:r>
              <w:t>Planned</w:t>
            </w:r>
          </w:p>
        </w:tc>
      </w:tr>
      <w:tr>
        <w:tc>
          <w:tcPr>
            <w:tcW w:type="dxa" w:w="2880"/>
          </w:tcPr>
          <w:p>
            <w:r>
              <w:t>Patch window</w:t>
            </w:r>
          </w:p>
        </w:tc>
        <w:tc>
          <w:tcPr>
            <w:tcW w:type="dxa" w:w="2880"/>
          </w:tcPr>
          <w:p>
            <w:r>
              <w:t>Operations</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