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Procurement EU v1.2</w:t>
      </w:r>
    </w:p>
    <w:p>
      <w:r>
        <w:t>Department: Procurement</w:t>
      </w:r>
    </w:p>
    <w:p>
      <w:r>
        <w:t>Author: Avery Lee</w:t>
      </w:r>
    </w:p>
    <w:p>
      <w:r>
        <w:t>Created date: 2025-12-01</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Audit sampling occurs monthly and is summarized in leadership dashboards. All changes require peer review and validation in the Monitoring Stack before production promotion.</w:t>
      </w:r>
    </w:p>
    <w:p>
      <w:pPr>
        <w:pStyle w:val="ListBullet"/>
      </w:pPr>
      <w:r>
        <w:t>Stakeholders include the Support Specialist, service owner, and compliance lead for approvals.</w:t>
      </w:r>
    </w:p>
    <w:p>
      <w:pPr>
        <w:pStyle w:val="ListBullet"/>
      </w:pPr>
      <w:r>
        <w:t>Evidence artifacts are retained in Microsoft 365 for at least 12 months.</w:t>
      </w:r>
    </w:p>
    <w:p>
      <w:pPr>
        <w:pStyle w:val="ListBullet"/>
      </w:pPr>
      <w:r>
        <w:t>All changes require peer review and validation in the Monitoring Stack before production promotion.</w:t>
      </w:r>
    </w:p>
    <w:p>
      <w:pPr>
        <w:pStyle w:val="ListBullet"/>
      </w:pPr>
      <w:r>
        <w:t>The process integrates with Monitoring Stack and depends on Redis for telemetry signals.</w:t>
      </w:r>
    </w:p>
    <w:p>
      <w:pPr>
        <w:pStyle w:val="ListBullet"/>
      </w:pPr>
      <w:r>
        <w:t>The Procurement team coordinates with Support Specialist to maintain operational readiness.</w:t>
      </w:r>
    </w:p>
    <w:p>
      <w:pPr>
        <w:pStyle w:val="Heading1"/>
      </w:pPr>
      <w:r>
        <w:t>Agenda</w:t>
      </w:r>
    </w:p>
    <w:p>
      <w:r>
        <w:t>All changes require peer review and validation in the Monitoring Stack before production promotion. The process integrates with Monitoring Stack and depends on Redis for telemetry signals. Risk acceptance must be documented and revalidated each quarter. This document aligns with GDPR requirements and supports EU data residency expectations.</w:t>
      </w:r>
    </w:p>
    <w:p>
      <w:pPr>
        <w:pStyle w:val="ListBullet"/>
      </w:pPr>
      <w:r>
        <w:t>Regional teams in EU follow the same policy with localized legal review.</w:t>
      </w:r>
    </w:p>
    <w:p>
      <w:pPr>
        <w:pStyle w:val="ListBullet"/>
      </w:pPr>
      <w:r>
        <w:t>Escalations should follow the on-call rotation with a response target of 30 minutes.</w:t>
      </w:r>
    </w:p>
    <w:p>
      <w:pPr>
        <w:pStyle w:val="ListBullet"/>
      </w:pPr>
      <w:r>
        <w:t>Regional teams in EU follow the same policy with localized legal review.</w:t>
      </w:r>
    </w:p>
    <w:p>
      <w:pPr>
        <w:pStyle w:val="ListBullet"/>
      </w:pPr>
      <w:r>
        <w:t>The Procurement team coordinates with Support Specialist to maintain operational readiness.</w:t>
      </w:r>
    </w:p>
    <w:p>
      <w:pPr>
        <w:pStyle w:val="ListBullet"/>
      </w:pPr>
      <w:r>
        <w:t>Evidence artifacts are retained in Microsoft 365 for at least 12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Procurement</w:t>
            </w:r>
          </w:p>
        </w:tc>
        <w:tc>
          <w:tcPr>
            <w:tcW w:type="dxa" w:w="2880"/>
          </w:tcPr>
          <w:p>
            <w:r>
              <w:t>Complete</w:t>
            </w:r>
          </w:p>
        </w:tc>
      </w:tr>
      <w:tr>
        <w:tc>
          <w:tcPr>
            <w:tcW w:type="dxa" w:w="2880"/>
          </w:tcPr>
          <w:p>
            <w:r>
              <w:t>Incident drill</w:t>
            </w:r>
          </w:p>
        </w:tc>
        <w:tc>
          <w:tcPr>
            <w:tcW w:type="dxa" w:w="2880"/>
          </w:tcPr>
          <w:p>
            <w:r>
              <w:t>Security</w:t>
            </w:r>
          </w:p>
        </w:tc>
        <w:tc>
          <w:tcPr>
            <w:tcW w:type="dxa" w:w="2880"/>
          </w:tcPr>
          <w:p>
            <w:r>
              <w:t>In Progress</w:t>
            </w:r>
          </w:p>
        </w:tc>
      </w:tr>
    </w:tbl>
    <w:p>
      <w:pPr>
        <w:pStyle w:val="Heading1"/>
      </w:pPr>
      <w:r>
        <w:t>Discussion</w:t>
      </w:r>
    </w:p>
    <w:p>
      <w:r>
        <w:t>The Procurement organization uses Redis to enforce consistent service baselines. Regional teams in EU follow the same policy with localized legal review. Escalations should follow the on-call rotation with a response target of 30 minutes. Regional teams in EU follow the same policy with localized legal review.</w:t>
      </w:r>
    </w:p>
    <w:p>
      <w:r>
        <w:t>We prioritize customer impact, data integrity, and regulatory alignment. All changes require peer review and validation in the Monitoring Stack before production promotion. Systems are monitored via Redis and alert routing in Microsoft 365. This document aligns with GDPR requirements and supports EU data residency expectations.</w:t>
      </w:r>
    </w:p>
    <w:p>
      <w:pPr>
        <w:pStyle w:val="ListBullet"/>
      </w:pPr>
      <w:r>
        <w:t>Systems are monitored via Redis and alert routing in Microsoft 365.</w:t>
      </w:r>
    </w:p>
    <w:p>
      <w:pPr>
        <w:pStyle w:val="ListBullet"/>
      </w:pPr>
      <w:r>
        <w:t>Systems are monitored via Redis and alert routing in Microsoft 365.</w:t>
      </w:r>
    </w:p>
    <w:p>
      <w:pPr>
        <w:pStyle w:val="ListBullet"/>
      </w:pPr>
      <w:r>
        <w:t>Risk acceptance must be documented and revalidated each quarter.</w:t>
      </w:r>
    </w:p>
    <w:p>
      <w:pPr>
        <w:pStyle w:val="ListBullet"/>
      </w:pPr>
      <w:r>
        <w:t>All changes require peer review and validation in the Monitoring Stack before production promotion.</w:t>
      </w:r>
    </w:p>
    <w:p>
      <w:pPr>
        <w:pStyle w:val="ListBullet"/>
      </w:pPr>
      <w:r>
        <w:t>Risk acceptance must be documented and revalidated each quarter.</w:t>
      </w:r>
    </w:p>
    <w:p>
      <w:pPr>
        <w:pStyle w:val="Heading1"/>
      </w:pPr>
      <w:r>
        <w:t>Decisions</w:t>
      </w:r>
    </w:p>
    <w:p>
      <w:r>
        <w:t>Evidence artifacts are retained in Microsoft 365 for at least 12 months. Escalations should follow the on-call rotation with a response target of 30 minutes.</w:t>
      </w:r>
    </w:p>
    <w:p>
      <w:pPr>
        <w:pStyle w:val="ListBullet"/>
      </w:pPr>
      <w:r>
        <w:t>Evidence artifacts are retained in Microsoft 365 for at least 12 months.</w:t>
      </w:r>
    </w:p>
    <w:p>
      <w:pPr>
        <w:pStyle w:val="ListBullet"/>
      </w:pPr>
      <w:r>
        <w:t>We prioritize customer impact, data integrity, and regulatory alignment.</w:t>
      </w:r>
    </w:p>
    <w:p>
      <w:pPr>
        <w:pStyle w:val="ListBullet"/>
      </w:pPr>
      <w:r>
        <w:t>Regional teams in EU follow the same policy with localized legal review.</w:t>
      </w:r>
    </w:p>
    <w:p>
      <w:pPr>
        <w:pStyle w:val="Heading1"/>
      </w:pPr>
      <w:r>
        <w:t>Action Items</w:t>
      </w:r>
    </w:p>
    <w:p>
      <w:r>
        <w:t>We prioritize customer impact, data integrity, and regulatory alignment. Stakeholders include the Support Specialist, service owner, and compliance lead for approvals.</w:t>
      </w:r>
    </w:p>
    <w:p>
      <w:r>
        <w:t>The Procurement team coordinates with Support Specialist to maintain operational readiness. The Procurement team coordinates with Support Specialist to maintain operational readiness.</w:t>
      </w:r>
    </w:p>
    <w:p>
      <w:pPr>
        <w:pStyle w:val="ListBullet"/>
      </w:pPr>
      <w:r>
        <w:t>Stakeholders include the Support Specialist, service owner, and compliance lead for approvals.</w:t>
      </w:r>
    </w:p>
    <w:p>
      <w:pPr>
        <w:pStyle w:val="ListBullet"/>
      </w:pPr>
      <w:r>
        <w:t>Regional teams in EU follow the same policy with localized legal review.</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Incident drill</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