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Product EU v2.1</w:t>
      </w:r>
    </w:p>
    <w:p>
      <w:r>
        <w:t>Department: Product</w:t>
      </w:r>
    </w:p>
    <w:p>
      <w:r>
        <w:t>Author: Taylor Nguyen</w:t>
      </w:r>
    </w:p>
    <w:p>
      <w:r>
        <w:t>Created date: 2025-07-13</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Regional teams in EU follow the same policy with localized legal review. Stakeholders include the Product Manager, service owner, and compliance lead for approvals. The Product organization uses Datadog to enforce consistent service baselines.</w:t>
      </w:r>
    </w:p>
    <w:p>
      <w:r>
        <w:t>We prioritize customer impact, data integrity, and regulatory alignment. We prioritize customer impact, data integrity, and regulatory alignment. The Product team coordinates with Product Manager to maintain operational readiness. Regional teams in EU follow the same policy with localized legal review.</w:t>
      </w:r>
    </w:p>
    <w:p>
      <w:pPr>
        <w:pStyle w:val="ListBullet"/>
      </w:pPr>
      <w:r>
        <w:t>Escalations should follow the on-call rotation with a response target of 45 minutes.</w:t>
      </w:r>
    </w:p>
    <w:p>
      <w:pPr>
        <w:pStyle w:val="ListBullet"/>
      </w:pPr>
      <w:r>
        <w:t>Systems are monitored via Datadog and alert routing in Confluence.</w:t>
      </w:r>
    </w:p>
    <w:p>
      <w:pPr>
        <w:pStyle w:val="ListBullet"/>
      </w:pPr>
      <w:r>
        <w:t>All changes require peer review and validation in the Document Repository before production promotion.</w:t>
      </w:r>
    </w:p>
    <w:p>
      <w:pPr>
        <w:pStyle w:val="ListBullet"/>
      </w:pPr>
      <w:r>
        <w:t>The Product organization uses Datadog to enforce consistent service baselines.</w:t>
      </w:r>
    </w:p>
    <w:p>
      <w:pPr>
        <w:pStyle w:val="ListBullet"/>
      </w:pPr>
      <w:r>
        <w:t>The process integrates with Document Repository and depends on Datadog for telemetry signals.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Incident drill</w:t>
            </w:r>
          </w:p>
        </w:tc>
        <w:tc>
          <w:tcPr>
            <w:tcW w:type="dxa" w:w="2880"/>
          </w:tcPr>
          <w:p>
            <w:r>
              <w:t>Product</w:t>
            </w:r>
          </w:p>
        </w:tc>
        <w:tc>
          <w:tcPr>
            <w:tcW w:type="dxa" w:w="2880"/>
          </w:tcPr>
          <w:p>
            <w:r>
              <w:t>Complete</w:t>
            </w:r>
          </w:p>
        </w:tc>
      </w:tr>
      <w:tr>
        <w:tc>
          <w:tcPr>
            <w:tcW w:type="dxa" w:w="2880"/>
          </w:tcPr>
          <w:p>
            <w:r>
              <w:t>Backup validation</w:t>
            </w:r>
          </w:p>
        </w:tc>
        <w:tc>
          <w:tcPr>
            <w:tcW w:type="dxa" w:w="2880"/>
          </w:tcPr>
          <w:p>
            <w:r>
              <w:t>Product</w:t>
            </w:r>
          </w:p>
        </w:tc>
        <w:tc>
          <w:tcPr>
            <w:tcW w:type="dxa" w:w="2880"/>
          </w:tcPr>
          <w:p>
            <w:r>
              <w:t>Planned</w:t>
            </w:r>
          </w:p>
        </w:tc>
      </w:tr>
    </w:tbl>
    <w:p>
      <w:pPr>
        <w:pStyle w:val="Heading1"/>
      </w:pPr>
      <w:r>
        <w:t>Agenda</w:t>
      </w:r>
    </w:p>
    <w:p>
      <w:r>
        <w:t>Escalations should follow the on-call rotation with a response target of 45 minutes. All changes require peer review and validation in the Document Repository before production promotion.</w:t>
      </w:r>
    </w:p>
    <w:p>
      <w:r>
        <w:t>Systems are monitored via Datadog and alert routing in Confluence. This document aligns with SOX requirements and supports EU data residency expectations. All changes require peer review and validation in the Document Repository before production promotion.</w:t>
      </w:r>
    </w:p>
    <w:p>
      <w:pPr>
        <w:pStyle w:val="ListBullet"/>
      </w:pPr>
      <w:r>
        <w:t>This document aligns with SOX requirements and supports EU data residency expectations.</w:t>
      </w:r>
    </w:p>
    <w:p>
      <w:pPr>
        <w:pStyle w:val="ListBullet"/>
      </w:pPr>
      <w:r>
        <w:t>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Heading1"/>
      </w:pPr>
      <w:r>
        <w:t>Discussion</w:t>
      </w:r>
    </w:p>
    <w:p>
      <w:r>
        <w:t>The Product organization uses Datadog to enforce consistent service baselines. Risk acceptance must be documented and revalidated each quarter. The Product organization uses Datadog to enforce consistent service baselines. Teams must log requests in Confluence and track outcomes in Document Repository for audit readiness.</w:t>
      </w:r>
    </w:p>
    <w:p>
      <w:pPr>
        <w:pStyle w:val="ListBullet"/>
      </w:pPr>
      <w:r>
        <w:t>The Product organization uses Datadog to enforce consistent service baselines.</w:t>
      </w:r>
    </w:p>
    <w:p>
      <w:pPr>
        <w:pStyle w:val="ListBullet"/>
      </w:pPr>
      <w:r>
        <w:t>The Product team coordinates with Product Manager to maintain operational readiness.</w:t>
      </w:r>
    </w:p>
    <w:p>
      <w:pPr>
        <w:pStyle w:val="ListBullet"/>
      </w:pPr>
      <w:r>
        <w:t>This document aligns with SOX requirements and supports EU data residency expectations.</w:t>
      </w:r>
    </w:p>
    <w:p>
      <w:pPr>
        <w:pStyle w:val="Heading1"/>
      </w:pPr>
      <w:r>
        <w:t>Decisions</w:t>
      </w:r>
    </w:p>
    <w:p>
      <w:r>
        <w:t>All changes require peer review and validation in the Document Repository before production promotion. We prioritize customer impact, data integrity, and regulatory alignment. Stakeholders include the Product Manager, service owner, and compliance lead for approvals.</w:t>
      </w:r>
    </w:p>
    <w:p>
      <w:r>
        <w:t>The process integrates with Document Repository and depends on Datadog for telemetry signals. Escalations should follow the on-call rotation with a response target of 45 minutes. Escalations should follow the on-call rotation with a response target of 45 minutes. Audit sampling occurs monthly and is summarized in leadership dashboards.</w:t>
      </w:r>
    </w:p>
    <w:p>
      <w:pPr>
        <w:pStyle w:val="ListBullet"/>
      </w:pPr>
      <w:r>
        <w:t>Risk acceptance must be documented and revalidated each quarter.</w:t>
      </w:r>
    </w:p>
    <w:p>
      <w:pPr>
        <w:pStyle w:val="ListBullet"/>
      </w:pPr>
      <w:r>
        <w:t>Evidence artifacts are retained in Confluence for at least 24 months.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Evidence artifacts are retained in Confluence for at least 24 months.</w:t>
      </w:r>
    </w:p>
    <w:p>
      <w:pPr>
        <w:pStyle w:val="Heading1"/>
      </w:pPr>
      <w:r>
        <w:t>Action Items</w:t>
      </w:r>
    </w:p>
    <w:p>
      <w:r>
        <w:t>The process integrates with Document Repository and depends on Datadog for telemetry signals. Risk acceptance must be documented and revalidated each quarter. Systems are monitored via Datadog and alert routing in Confluence.</w:t>
      </w:r>
    </w:p>
    <w:p>
      <w:pPr>
        <w:pStyle w:val="ListBullet"/>
      </w:pPr>
      <w:r>
        <w:t>Escalations should follow the on-call rotation with a response target of 45 minutes.</w:t>
      </w:r>
    </w:p>
    <w:p>
      <w:pPr>
        <w:pStyle w:val="ListBullet"/>
      </w:pPr>
      <w:r>
        <w:t>Evidence artifacts are retained in Confluence for at least 24 months.</w:t>
      </w:r>
    </w:p>
    <w:p>
      <w:pPr>
        <w:pStyle w:val="ListBullet"/>
      </w:pPr>
      <w:r>
        <w:t>The Product organization uses Datadog to enforce consistent service baselines.</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