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Product US v2.1</w:t>
      </w:r>
    </w:p>
    <w:p>
      <w:r>
        <w:t>Department: Product</w:t>
      </w:r>
    </w:p>
    <w:p>
      <w:r>
        <w:t>Author: Taylor Brown</w:t>
      </w:r>
    </w:p>
    <w:p>
      <w:r>
        <w:t>Created date: 2025-06-24</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Regional teams in US follow the same policy with localized legal review. Regional teams in US follow the same policy with localized legal review. We prioritize customer impact, data integrity, and regulatory alignment.</w:t>
      </w:r>
    </w:p>
    <w:p>
      <w:r>
        <w:t>Evidence artifacts are retained in SAP for at least 18 months. All incidents are tagged with severity and mapped to service tiers.</w:t>
      </w:r>
    </w:p>
    <w:p>
      <w:pPr>
        <w:pStyle w:val="ListBullet"/>
      </w:pPr>
      <w:r>
        <w:t>Stakeholders include the SRE, service owner, and compliance lead for approvals.</w:t>
      </w:r>
    </w:p>
    <w:p>
      <w:pPr>
        <w:pStyle w:val="ListBullet"/>
      </w:pPr>
      <w:r>
        <w:t>All changes require peer review and validation in the Log Aggregation Cluster before production promotion.</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Agenda</w:t>
      </w:r>
    </w:p>
    <w:p>
      <w:r>
        <w:t>All changes require peer review and validation in the Log Aggregation Cluster before production promotion. All changes require peer review and validation in the Log Aggregation Cluster before production promotion.</w:t>
      </w:r>
    </w:p>
    <w:p>
      <w:r>
        <w:t>The process integrates with Log Aggregation Cluster and depends on Azure for telemetry signals. We prioritize customer impact, data integrity, and regulatory alignment. The Product organization uses Azure to enforce consistent service baselines.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Evidence artifacts are retained in SAP for at least 18 months.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Access review</w:t>
            </w:r>
          </w:p>
        </w:tc>
        <w:tc>
          <w:tcPr>
            <w:tcW w:type="dxa" w:w="2880"/>
          </w:tcPr>
          <w:p>
            <w:r>
              <w:t>Product</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bl>
    <w:p>
      <w:pPr>
        <w:pStyle w:val="Heading1"/>
      </w:pPr>
      <w:r>
        <w:t>Discussion</w:t>
      </w:r>
    </w:p>
    <w:p>
      <w:r>
        <w:t>Evidence artifacts are retained in SAP for at least 18 months. Evidence artifacts are retained in SAP for at least 18 months.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This document aligns with HIPAA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Complete</w:t>
            </w:r>
          </w:p>
        </w:tc>
      </w:tr>
      <w:tr>
        <w:tc>
          <w:tcPr>
            <w:tcW w:type="dxa" w:w="2880"/>
          </w:tcPr>
          <w:p>
            <w:r>
              <w:t>Backup validation</w:t>
            </w:r>
          </w:p>
        </w:tc>
        <w:tc>
          <w:tcPr>
            <w:tcW w:type="dxa" w:w="2880"/>
          </w:tcPr>
          <w:p>
            <w:r>
              <w:t>Product</w:t>
            </w:r>
          </w:p>
        </w:tc>
        <w:tc>
          <w:tcPr>
            <w:tcW w:type="dxa" w:w="2880"/>
          </w:tcPr>
          <w:p>
            <w:r>
              <w:t>Complete</w:t>
            </w:r>
          </w:p>
        </w:tc>
      </w:tr>
      <w:tr>
        <w:tc>
          <w:tcPr>
            <w:tcW w:type="dxa" w:w="2880"/>
          </w:tcPr>
          <w:p>
            <w:r>
              <w:t>Patch window</w:t>
            </w:r>
          </w:p>
        </w:tc>
        <w:tc>
          <w:tcPr>
            <w:tcW w:type="dxa" w:w="2880"/>
          </w:tcPr>
          <w:p>
            <w:r>
              <w:t>SRE</w:t>
            </w:r>
          </w:p>
        </w:tc>
        <w:tc>
          <w:tcPr>
            <w:tcW w:type="dxa" w:w="2880"/>
          </w:tcPr>
          <w:p>
            <w:r>
              <w:t>Complete</w:t>
            </w:r>
          </w:p>
        </w:tc>
      </w:tr>
    </w:tbl>
    <w:p>
      <w:pPr>
        <w:pStyle w:val="Heading1"/>
      </w:pPr>
      <w:r>
        <w:t>Decisions</w:t>
      </w:r>
    </w:p>
    <w:p>
      <w:r>
        <w:t>Regional teams in US follow the same policy with localized legal review. The Product team coordinates with SRE to maintain operational readiness. Evidence artifacts are retained in SAP for at least 18 months. Teams must log requests in SAP and track outcomes in Log Aggregation Cluster for audit readiness.</w:t>
      </w:r>
    </w:p>
    <w:p>
      <w:r>
        <w:t>This document aligns with HIPAA requirements and supports US data residency expectations. Escalations should follow the on-call rotation with a response target of 15 minutes. Stakeholders include the SRE, service owner, and compliance lead for approvals.</w:t>
      </w:r>
    </w:p>
    <w:p>
      <w:pPr>
        <w:pStyle w:val="ListBullet"/>
      </w:pPr>
      <w:r>
        <w:t>The Product organization uses Azure to enforce consistent service baselines.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Teams must log requests in SAP and track outcomes in Log Aggregation Cluster for audit readiness.</w:t>
      </w:r>
    </w:p>
    <w:p>
      <w:pPr>
        <w:pStyle w:val="ListBullet"/>
      </w:pPr>
      <w:r>
        <w:t>The Product team coordinates with SRE to maintain operational readiness.</w:t>
      </w:r>
    </w:p>
    <w:p>
      <w:pPr>
        <w:pStyle w:val="Heading1"/>
      </w:pPr>
      <w:r>
        <w:t>Action Items</w:t>
      </w:r>
    </w:p>
    <w:p>
      <w:r>
        <w:t>Systems are monitored via Azure and alert routing in SAP. Escalations should follow the on-call rotation with a response target of 15 minutes.</w:t>
      </w:r>
    </w:p>
    <w:p>
      <w:r>
        <w:t>Evidence artifacts are retained in SAP for at least 18 months. Audit sampling occurs monthly and is summarized in leadership dashboards. All incidents are tagged with severity and mapped to service tiers. Audit sampling occurs monthly and is summarized in leadership dashboards.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This document aligns with HIPAA requirements and supports US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