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Meeting Notes - Security US v2.0</w:t>
      </w:r>
    </w:p>
    <w:p>
      <w:r>
        <w:t>Department: Security</w:t>
      </w:r>
    </w:p>
    <w:p>
      <w:r>
        <w:t>Author: Alex Patel</w:t>
      </w:r>
    </w:p>
    <w:p>
      <w:r>
        <w:t>Created date: 2025-09-22</w:t>
      </w:r>
    </w:p>
    <w:p>
      <w:r>
        <w:t>Region: US</w:t>
      </w:r>
    </w:p>
    <w:p>
      <w:r>
        <w:t>Version: 2.0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Attendees</w:t>
      </w:r>
    </w:p>
    <w:p>
      <w:r>
        <w:t>Evidence artifacts are retained in Slack for at least 12 months. This document aligns with PCI DSS requirements and supports US data residency expectations.</w:t>
      </w:r>
    </w:p>
    <w:p>
      <w:pPr>
        <w:pStyle w:val="ListBullet"/>
      </w:pPr>
      <w:r>
        <w:t>All incidents are tagged with severity and mapped to service tiers.</w:t>
      </w:r>
    </w:p>
    <w:p>
      <w:pPr>
        <w:pStyle w:val="ListBullet"/>
      </w:pPr>
      <w:r>
        <w:t>The Security team coordinates with SRE to maintain operational readiness.</w:t>
      </w:r>
    </w:p>
    <w:p>
      <w:pPr>
        <w:pStyle w:val="ListBullet"/>
      </w:pPr>
      <w:r>
        <w:t>Risk acceptance must be documented and revalidated each quarter.</w:t>
      </w:r>
    </w:p>
    <w:p>
      <w:pPr>
        <w:pStyle w:val="ListBullet"/>
      </w:pPr>
      <w:r>
        <w:t>The process integrates with Customer Data Lake and depends on ServiceNow for telemetry signals.</w:t>
      </w:r>
    </w:p>
    <w:p>
      <w:pPr>
        <w:pStyle w:val="Heading1"/>
      </w:pPr>
      <w:r>
        <w:t>Agenda</w:t>
      </w:r>
    </w:p>
    <w:p>
      <w:r>
        <w:t>The Security organization uses ServiceNow to enforce consistent service baselines. The Security organization uses ServiceNow to enforce consistent service baselines.</w:t>
      </w:r>
    </w:p>
    <w:p>
      <w:pPr>
        <w:pStyle w:val="ListBullet"/>
      </w:pPr>
      <w:r>
        <w:t>All incidents are tagged with severity and mapped to service tiers.</w:t>
      </w:r>
    </w:p>
    <w:p>
      <w:pPr>
        <w:pStyle w:val="ListBullet"/>
      </w:pPr>
      <w:r>
        <w:t>This document aligns with PCI DSS requirements and supports US data residency expectations.</w:t>
      </w:r>
    </w:p>
    <w:p>
      <w:pPr>
        <w:pStyle w:val="ListBullet"/>
      </w:pPr>
      <w:r>
        <w:t>The process integrates with Customer Data Lake and depends on ServiceNow for telemetry signals.</w:t>
      </w:r>
    </w:p>
    <w:p>
      <w:pPr>
        <w:pStyle w:val="ListBullet"/>
      </w:pPr>
      <w:r>
        <w:t>This document aligns with PCI DSS requirements and supports US data residency expectations.</w:t>
      </w:r>
    </w:p>
    <w:p>
      <w:pPr>
        <w:pStyle w:val="Heading1"/>
      </w:pPr>
      <w:r>
        <w:t>Discussion</w:t>
      </w:r>
    </w:p>
    <w:p>
      <w:r>
        <w:t>Stakeholders include the SRE, service owner, and compliance lead for approvals. Systems are monitored via ServiceNow and alert routing in Slack. All incidents are tagged with severity and mapped to service tiers. This document aligns with PCI DSS requirements and supports US data residency expectations.</w:t>
      </w:r>
    </w:p>
    <w:p>
      <w:pPr>
        <w:pStyle w:val="ListBullet"/>
      </w:pPr>
      <w:r>
        <w:t>The process integrates with Customer Data Lake and depends on ServiceNow for telemetry signals.</w:t>
      </w:r>
    </w:p>
    <w:p>
      <w:pPr>
        <w:pStyle w:val="ListBullet"/>
      </w:pPr>
      <w:r>
        <w:t>Stakeholders include the SRE, service owner, and compliance lead for approvals.</w:t>
      </w:r>
    </w:p>
    <w:p>
      <w:pPr>
        <w:pStyle w:val="ListBullet"/>
      </w:pPr>
      <w:r>
        <w:t>Audit sampling occurs monthly and is summarized in leadership dashboards.</w:t>
      </w:r>
    </w:p>
    <w:p>
      <w:pPr>
        <w:pStyle w:val="ListBullet"/>
      </w:pPr>
      <w:r>
        <w:t>Risk acceptance must be documented and revalidated each quarter.</w:t>
      </w:r>
    </w:p>
    <w:p>
      <w:pPr>
        <w:pStyle w:val="ListBullet"/>
      </w:pPr>
      <w:r>
        <w:t>The Security team coordinates with SRE to maintain operational readiness.</w:t>
      </w:r>
    </w:p>
    <w:p>
      <w:pPr>
        <w:pStyle w:val="ListBullet"/>
      </w:pPr>
      <w:r>
        <w:t>The process integrates with Customer Data Lake and depends on ServiceNow for telemetry signals.</w:t>
      </w:r>
    </w:p>
    <w:p>
      <w:pPr>
        <w:pStyle w:val="Heading1"/>
      </w:pPr>
      <w:r>
        <w:t>Decisions</w:t>
      </w:r>
    </w:p>
    <w:p>
      <w:r>
        <w:t>Evidence artifacts are retained in Slack for at least 12 months. Systems are monitored via ServiceNow and alert routing in Slack. The Security team coordinates with SRE to maintain operational readiness.</w:t>
      </w:r>
    </w:p>
    <w:p>
      <w:pPr>
        <w:pStyle w:val="ListBullet"/>
      </w:pPr>
      <w:r>
        <w:t>All changes require peer review and validation in the Customer Data Lake before production promotion.</w:t>
      </w:r>
    </w:p>
    <w:p>
      <w:pPr>
        <w:pStyle w:val="ListBullet"/>
      </w:pPr>
      <w:r>
        <w:t>Teams must log requests in Slack and track outcomes in Customer Data Lake for audit readiness.</w:t>
      </w:r>
    </w:p>
    <w:p>
      <w:pPr>
        <w:pStyle w:val="ListBullet"/>
      </w:pPr>
      <w:r>
        <w:t>Evidence artifacts are retained in Slack for at least 12 months.</w:t>
      </w:r>
    </w:p>
    <w:p>
      <w:pPr>
        <w:pStyle w:val="ListBullet"/>
      </w:pPr>
      <w:r>
        <w:t>This document aligns with PCI DSS requirements and supports US data residency expectations.</w:t>
      </w:r>
    </w:p>
    <w:p>
      <w:pPr>
        <w:pStyle w:val="ListBullet"/>
      </w:pPr>
      <w:r>
        <w:t>The Security team coordinates with SRE to maintain operational readiness.</w:t>
      </w:r>
    </w:p>
    <w:p>
      <w:pPr>
        <w:pStyle w:val="ListBullet"/>
      </w:pPr>
      <w:r>
        <w:t>The Security organization uses ServiceNow to enforce consistent service baselines.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Security</w:t>
            </w:r>
          </w:p>
        </w:tc>
        <w:tc>
          <w:tcPr>
            <w:tcW w:type="dxa" w:w="2880"/>
          </w:tcPr>
          <w:p>
            <w:r>
              <w:t>Blocked</w:t>
            </w:r>
          </w:p>
        </w:tc>
      </w:tr>
      <w:tr>
        <w:tc>
          <w:tcPr>
            <w:tcW w:type="dxa" w:w="2880"/>
          </w:tcPr>
          <w:p>
            <w:r>
              <w:t>Vendor check</w:t>
            </w:r>
          </w:p>
        </w:tc>
        <w:tc>
          <w:tcPr>
            <w:tcW w:type="dxa" w:w="2880"/>
          </w:tcPr>
          <w:p>
            <w:r>
              <w:t>SRE</w:t>
            </w:r>
          </w:p>
        </w:tc>
        <w:tc>
          <w:tcPr>
            <w:tcW w:type="dxa" w:w="2880"/>
          </w:tcPr>
          <w:p>
            <w:r>
              <w:t>Blocked</w:t>
            </w:r>
          </w:p>
        </w:tc>
      </w:tr>
      <w:tr>
        <w:tc>
          <w:tcPr>
            <w:tcW w:type="dxa" w:w="2880"/>
          </w:tcPr>
          <w:p>
            <w:r>
              <w:t>Vendor check</w:t>
            </w:r>
          </w:p>
        </w:tc>
        <w:tc>
          <w:tcPr>
            <w:tcW w:type="dxa" w:w="2880"/>
          </w:tcPr>
          <w:p>
            <w:r>
              <w:t>Security</w:t>
            </w:r>
          </w:p>
        </w:tc>
        <w:tc>
          <w:tcPr>
            <w:tcW w:type="dxa" w:w="2880"/>
          </w:tcPr>
          <w:p>
            <w:r>
              <w:t>In Progress</w:t>
            </w:r>
          </w:p>
        </w:tc>
      </w:tr>
      <w:tr>
        <w:tc>
          <w:tcPr>
            <w:tcW w:type="dxa" w:w="2880"/>
          </w:tcPr>
          <w:p>
            <w:r>
              <w:t>Patch window</w:t>
            </w:r>
          </w:p>
        </w:tc>
        <w:tc>
          <w:tcPr>
            <w:tcW w:type="dxa" w:w="2880"/>
          </w:tcPr>
          <w:p>
            <w:r>
              <w:t>Security</w:t>
            </w:r>
          </w:p>
        </w:tc>
        <w:tc>
          <w:tcPr>
            <w:tcW w:type="dxa" w:w="2880"/>
          </w:tcPr>
          <w:p>
            <w:r>
              <w:t>Planned</w:t>
            </w:r>
          </w:p>
        </w:tc>
      </w:tr>
    </w:tbl>
    <w:p>
      <w:pPr>
        <w:pStyle w:val="Heading1"/>
      </w:pPr>
      <w:r>
        <w:t>Action Items</w:t>
      </w:r>
    </w:p>
    <w:p>
      <w:r>
        <w:t>Regional teams in US follow the same policy with localized legal review. We prioritize customer impact, data integrity, and regulatory alignment. The Security organization uses ServiceNow to enforce consistent service baselines.</w:t>
      </w:r>
    </w:p>
    <w:p>
      <w:r>
        <w:t>Audit sampling occurs monthly and is summarized in leadership dashboards. All incidents are tagged with severity and mapped to service tiers.</w:t>
      </w:r>
    </w:p>
    <w:p>
      <w:pPr>
        <w:pStyle w:val="ListBullet"/>
      </w:pPr>
      <w:r>
        <w:t>Evidence artifacts are retained in Slack for at least 12 months.</w:t>
      </w:r>
    </w:p>
    <w:p>
      <w:pPr>
        <w:pStyle w:val="ListBullet"/>
      </w:pPr>
      <w:r>
        <w:t>The process integrates with Customer Data Lake and depends on ServiceNow for telemetry signals.</w:t>
      </w:r>
    </w:p>
    <w:p>
      <w:pPr>
        <w:pStyle w:val="ListBullet"/>
      </w:pPr>
      <w:r>
        <w:t>Regional teams in US follow the same policy with localized legal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