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Compliance EU v2.1</w:t>
      </w:r>
    </w:p>
    <w:p>
      <w:r>
        <w:t>Department: Compliance</w:t>
      </w:r>
    </w:p>
    <w:p>
      <w:r>
        <w:t>Author: Casey Nguyen</w:t>
      </w:r>
    </w:p>
    <w:p>
      <w:r>
        <w:t>Created date: 2025-10-18</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Risk acceptance must be documented and revalidated each quarter. We prioritize customer impact, data integrity, and regulatory alignment. Risk acceptance must be documented and revalidated each quarter.</w:t>
      </w:r>
    </w:p>
    <w:p>
      <w:r>
        <w:t>Teams must log requests in Google Workspace and track outcomes in Payment Processing Service for audit readiness. All changes require peer review and validation in the Payment Processing Service before production promotion. Audit sampling occurs monthly and is summarized in leadership dashboards.</w:t>
      </w:r>
    </w:p>
    <w:p>
      <w:pPr>
        <w:pStyle w:val="ListBullet"/>
      </w:pPr>
      <w:r>
        <w:t>The Compliance team coordinates with HR Business Partner to maintain operational readiness.</w:t>
      </w:r>
    </w:p>
    <w:p>
      <w:pPr>
        <w:pStyle w:val="ListBullet"/>
      </w:pPr>
      <w:r>
        <w:t>The Compliance team coordinates with HR Business Partner to maintain operational readiness.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Vendor Selection</w:t>
      </w:r>
    </w:p>
    <w:p>
      <w:r>
        <w:t>Teams must log requests in Google Workspace and track outcomes in Payment Processing Service for audit readiness. Escalations should follow the on-call rotation with a response target of 60 minutes. Escalations should follow the on-call rotation with a response target of 60 minutes. Escalations should follow the on-call rotation with a response target of 60 minutes.</w:t>
      </w:r>
    </w:p>
    <w:p>
      <w:pPr>
        <w:pStyle w:val="ListBullet"/>
      </w:pPr>
      <w:r>
        <w:t>The process integrates with Payment Processing Service and depends on Terraform for telemetry signals.</w:t>
      </w:r>
    </w:p>
    <w:p>
      <w:pPr>
        <w:pStyle w:val="ListBullet"/>
      </w:pPr>
      <w:r>
        <w:t>Escalations should follow the on-call rotation with a response target of 60 minutes.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Planned</w:t>
            </w:r>
          </w:p>
        </w:tc>
      </w:tr>
      <w:tr>
        <w:tc>
          <w:tcPr>
            <w:tcW w:type="dxa" w:w="2880"/>
          </w:tcPr>
          <w:p>
            <w:r>
              <w:t>Access review</w:t>
            </w:r>
          </w:p>
        </w:tc>
        <w:tc>
          <w:tcPr>
            <w:tcW w:type="dxa" w:w="2880"/>
          </w:tcPr>
          <w:p>
            <w:r>
              <w:t>Security</w:t>
            </w:r>
          </w:p>
        </w:tc>
        <w:tc>
          <w:tcPr>
            <w:tcW w:type="dxa" w:w="2880"/>
          </w:tcPr>
          <w:p>
            <w:r>
              <w:t>Complete</w:t>
            </w:r>
          </w:p>
        </w:tc>
      </w:tr>
    </w:tbl>
    <w:p>
      <w:pPr>
        <w:pStyle w:val="Heading1"/>
      </w:pPr>
      <w:r>
        <w:t>Contract Review</w:t>
      </w:r>
    </w:p>
    <w:p>
      <w:r>
        <w:t>Stakeholders include the HR Business Partner, service owner, and compliance lead for approvals. Risk acceptance must be documented and revalidated each quarter. All changes require peer review and validation in the Payment Processing Service before production promotion. We prioritize customer impact, data integrity, and regulatory alignment.</w:t>
      </w:r>
    </w:p>
    <w:p>
      <w:r>
        <w:t>Risk acceptance must be documented and revalidated each quarter. Evidence artifacts are retained in Google Workspace for at least 24 months.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p>
      <w:pPr>
        <w:pStyle w:val="ListBullet"/>
      </w:pPr>
      <w:r>
        <w:t>Evidence artifacts are retained in Google Workspace for at least 24 months.</w:t>
      </w:r>
    </w:p>
    <w:p>
      <w:pPr>
        <w:pStyle w:val="Heading1"/>
      </w:pPr>
      <w:r>
        <w:t>Purchase Order</w:t>
      </w:r>
    </w:p>
    <w:p>
      <w:r>
        <w:t>Audit sampling occurs monthly and is summarized in leadership dashboards. This document aligns with SOC 2 requirements and supports EU data residency expectations.</w:t>
      </w:r>
    </w:p>
    <w:p>
      <w:r>
        <w:t>The Compliance organization uses Terraform to enforce consistent service baselines. This document aligns with SOC 2 requirements and supports EU data residency expectations. The Compliance team coordinates with HR Business Partner to maintain operational readiness. Audit sampling occurs monthly and is summarized in leadership dashboards.</w:t>
      </w:r>
    </w:p>
    <w:p>
      <w:pPr>
        <w:pStyle w:val="ListBullet"/>
      </w:pPr>
      <w:r>
        <w:t>Audit sampling occurs monthly and is summarized in leadership dashboards.</w:t>
      </w:r>
    </w:p>
    <w:p>
      <w:pPr>
        <w:pStyle w:val="ListBullet"/>
      </w:pPr>
      <w:r>
        <w:t>The Compliance organization uses Terraform to enforce consistent service baselines.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Planned</w:t>
            </w:r>
          </w:p>
        </w:tc>
      </w:tr>
      <w:tr>
        <w:tc>
          <w:tcPr>
            <w:tcW w:type="dxa" w:w="2880"/>
          </w:tcPr>
          <w:p>
            <w:r>
              <w:t>Access review</w:t>
            </w:r>
          </w:p>
        </w:tc>
        <w:tc>
          <w:tcPr>
            <w:tcW w:type="dxa" w:w="2880"/>
          </w:tcPr>
          <w:p>
            <w:r>
              <w:t>Operations</w:t>
            </w:r>
          </w:p>
        </w:tc>
        <w:tc>
          <w:tcPr>
            <w:tcW w:type="dxa" w:w="2880"/>
          </w:tcPr>
          <w:p>
            <w:r>
              <w:t>Blocked</w:t>
            </w:r>
          </w:p>
        </w:tc>
      </w:tr>
      <w:tr>
        <w:tc>
          <w:tcPr>
            <w:tcW w:type="dxa" w:w="2880"/>
          </w:tcPr>
          <w:p>
            <w:r>
              <w:t>Patch window</w:t>
            </w:r>
          </w:p>
        </w:tc>
        <w:tc>
          <w:tcPr>
            <w:tcW w:type="dxa" w:w="2880"/>
          </w:tcPr>
          <w:p>
            <w:r>
              <w:t>HR Business Partner</w:t>
            </w:r>
          </w:p>
        </w:tc>
        <w:tc>
          <w:tcPr>
            <w:tcW w:type="dxa" w:w="2880"/>
          </w:tcPr>
          <w:p>
            <w:r>
              <w:t>Blocked</w:t>
            </w:r>
          </w:p>
        </w:tc>
      </w:tr>
    </w:tbl>
    <w:p>
      <w:pPr>
        <w:pStyle w:val="Heading1"/>
      </w:pPr>
      <w:r>
        <w:t>Renewal and Termination</w:t>
      </w:r>
    </w:p>
    <w:p>
      <w:r>
        <w:t>We prioritize customer impact, data integrity, and regulatory alignment. Teams must log requests in Google Workspace and track outcomes in Payment Processing Service for audit readiness. The Compliance team coordinates with HR Business Partner to maintain operational readiness.</w:t>
      </w:r>
    </w:p>
    <w:p>
      <w:r>
        <w:t>The process integrates with Payment Processing Service and depends on Terraform for telemetry signals. The process integrates with Payment Processing Service and depends on Terraform for telemetry signals. The Compliance organization uses Terraform to enforce consistent service baselines.</w:t>
      </w:r>
    </w:p>
    <w:p>
      <w:pPr>
        <w:pStyle w:val="ListBullet"/>
      </w:pPr>
      <w:r>
        <w:t>The Compliance organization uses Terraform to enforce consistent service baselines.</w:t>
      </w:r>
    </w:p>
    <w:p>
      <w:pPr>
        <w:pStyle w:val="ListBullet"/>
      </w:pPr>
      <w:r>
        <w:t>Systems are monitored via Terraform and alert routing in Google Workspace.</w:t>
      </w:r>
    </w:p>
    <w:p>
      <w:pPr>
        <w:pStyle w:val="ListBullet"/>
      </w:pPr>
      <w:r>
        <w:t>Teams must log requests in Google Workspace and track outcomes in Payment Processing Service for audit readiness.</w:t>
      </w:r>
    </w:p>
    <w:p>
      <w:pPr>
        <w:pStyle w:val="ListBullet"/>
      </w:pPr>
      <w:r>
        <w:t>All changes require peer review and validation in the Payment Processing Service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