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Finance EU v1.2</w:t>
      </w:r>
    </w:p>
    <w:p>
      <w:r>
        <w:t>Department: Finance</w:t>
      </w:r>
    </w:p>
    <w:p>
      <w:r>
        <w:t>Author: Casey Nguyen</w:t>
      </w:r>
    </w:p>
    <w:p>
      <w:r>
        <w:t>Created date: 2025-04-25</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Audit sampling occurs monthly and is summarized in leadership dashboards. Teams must log requests in Jira and track outcomes in Customer Data Lake for audit readiness. This document aligns with HIPAA requirements and supports EU data residency expectations. Escalations should follow the on-call rotation with a response target of 15 minutes.</w:t>
      </w:r>
    </w:p>
    <w:p>
      <w:r>
        <w:t>Evidence artifacts are retained in Jira for at least 18 months. Audit sampling occurs monthly and is summarized in leadership dashboards. All changes require peer review and validation in the Customer Data Lake before production promotion. Evidence artifacts are retained in Jira for at least 18 months.</w:t>
      </w:r>
    </w:p>
    <w:p>
      <w:pPr>
        <w:pStyle w:val="ListBullet"/>
      </w:pPr>
      <w:r>
        <w:t>The process integrates with Customer Data Lake and depends on GCP for telemetry signals.</w:t>
      </w:r>
    </w:p>
    <w:p>
      <w:pPr>
        <w:pStyle w:val="ListBullet"/>
      </w:pPr>
      <w:r>
        <w:t>The Finance organization uses GCP to enforce consistent service baselines.</w:t>
      </w:r>
    </w:p>
    <w:p>
      <w:pPr>
        <w:pStyle w:val="ListBullet"/>
      </w:pPr>
      <w:r>
        <w:t>The Finance organization uses GCP to enforce consistent service baselines.</w:t>
      </w:r>
    </w:p>
    <w:p>
      <w:pPr>
        <w:pStyle w:val="ListBullet"/>
      </w:pPr>
      <w:r>
        <w:t>Risk acceptance must be documented and revalidated each quarter.</w:t>
      </w:r>
    </w:p>
    <w:p>
      <w:pPr>
        <w:pStyle w:val="ListBullet"/>
      </w:pPr>
      <w:r>
        <w:t>We prioritize customer impact, data integrity, and regulatory alignment.</w:t>
      </w:r>
    </w:p>
    <w:p>
      <w:pPr>
        <w:pStyle w:val="Heading1"/>
      </w:pPr>
      <w:r>
        <w:t>Vendor Selection</w:t>
      </w:r>
    </w:p>
    <w:p>
      <w:r>
        <w:t>This document aligns with HIPAA requirements and supports EU data residency expectations. Systems are monitored via GCP and alert routing in Jira. We prioritize customer impact, data integrity, and regulatory alignment.</w:t>
      </w:r>
    </w:p>
    <w:p>
      <w:r>
        <w:t>All changes require peer review and validation in the Customer Data Lake before production promotion. Audit sampling occurs monthly and is summarized in leadership dashboards.</w:t>
      </w:r>
    </w:p>
    <w:p>
      <w:pPr>
        <w:pStyle w:val="ListBullet"/>
      </w:pPr>
      <w:r>
        <w:t>Systems are monitored via GCP and alert routing in Jira.</w:t>
      </w:r>
    </w:p>
    <w:p>
      <w:pPr>
        <w:pStyle w:val="ListBullet"/>
      </w:pPr>
      <w:r>
        <w:t>Audit sampling occurs monthly and is summarized in leadership dashboards.</w:t>
      </w:r>
    </w:p>
    <w:p>
      <w:pPr>
        <w:pStyle w:val="ListBullet"/>
      </w:pPr>
      <w:r>
        <w:t>Stakeholders include the Release Manager, service owner, and compliance lead for approvals.</w:t>
      </w:r>
    </w:p>
    <w:p>
      <w:pPr>
        <w:pStyle w:val="ListBullet"/>
      </w:pPr>
      <w:r>
        <w:t>Teams must log requests in Jira and track outcomes in Customer Data Lake for audit readiness.</w:t>
      </w:r>
    </w:p>
    <w:p>
      <w:pPr>
        <w:pStyle w:val="ListBullet"/>
      </w:pPr>
      <w:r>
        <w:t>Risk acceptance must be documented and revalidated each quarter.</w:t>
      </w:r>
    </w:p>
    <w:p>
      <w:pPr>
        <w:pStyle w:val="ListBullet"/>
      </w:pPr>
      <w:r>
        <w:t>The Finance organization uses GCP to enforce consistent service baselines.</w:t>
      </w:r>
    </w:p>
    <w:p>
      <w:pPr>
        <w:pStyle w:val="Heading1"/>
      </w:pPr>
      <w:r>
        <w:t>Contract Review</w:t>
      </w:r>
    </w:p>
    <w:p>
      <w:r>
        <w:t>The Finance team coordinates with Release Manager to maintain operational readiness. Evidence artifacts are retained in Jira for at least 18 months.</w:t>
      </w:r>
    </w:p>
    <w:p>
      <w:r>
        <w:t>Evidence artifacts are retained in Jira for at least 18 months. Teams must log requests in Jira and track outcomes in Customer Data Lake for audit readiness. Audit sampling occurs monthly and is summarized in leadership dashboards. Risk acceptance must be documented and revalidated each quarter.</w:t>
      </w:r>
    </w:p>
    <w:p>
      <w:pPr>
        <w:pStyle w:val="ListBullet"/>
      </w:pPr>
      <w:r>
        <w:t>Teams must log requests in Jira and track outcomes in Customer Data Lake for audit readiness.</w:t>
      </w:r>
    </w:p>
    <w:p>
      <w:pPr>
        <w:pStyle w:val="ListBullet"/>
      </w:pPr>
      <w:r>
        <w:t>Audit sampling occurs monthly and is summarized in leadership dashboards.</w:t>
      </w:r>
    </w:p>
    <w:p>
      <w:pPr>
        <w:pStyle w:val="ListBullet"/>
      </w:pPr>
      <w:r>
        <w:t>Evidence artifacts are retained in Jira for at least 18 months.</w:t>
      </w:r>
    </w:p>
    <w:p>
      <w:pPr>
        <w:pStyle w:val="Heading1"/>
      </w:pPr>
      <w:r>
        <w:t>Purchase Order</w:t>
      </w:r>
    </w:p>
    <w:p>
      <w:r>
        <w:t>Regional teams in EU follow the same policy with localized legal review. Systems are monitored via GCP and alert routing in Jira.</w:t>
      </w:r>
    </w:p>
    <w:p>
      <w:r>
        <w:t>This document aligns with HIPAA requirements and supports EU data residency expectations. Teams must log requests in Jira and track outcomes in Customer Data Lake for audit readiness.</w:t>
      </w:r>
    </w:p>
    <w:p>
      <w:pPr>
        <w:pStyle w:val="ListBullet"/>
      </w:pPr>
      <w:r>
        <w:t>Systems are monitored via GCP and alert routing in Jira.</w:t>
      </w:r>
    </w:p>
    <w:p>
      <w:pPr>
        <w:pStyle w:val="ListBullet"/>
      </w:pPr>
      <w:r>
        <w:t>Risk acceptance must be documented and revalidated each quarter.</w:t>
      </w:r>
    </w:p>
    <w:p>
      <w:pPr>
        <w:pStyle w:val="ListBullet"/>
      </w:pPr>
      <w:r>
        <w:t>Systems are monitored via GCP and alert routing in Jira.</w:t>
      </w:r>
    </w:p>
    <w:p>
      <w:pPr>
        <w:pStyle w:val="ListBullet"/>
      </w:pPr>
      <w:r>
        <w:t>Regional teams in EU follow the same policy with localized legal review.</w:t>
      </w:r>
    </w:p>
    <w:p>
      <w:pPr>
        <w:pStyle w:val="Heading1"/>
      </w:pPr>
      <w:r>
        <w:t>Renewal and Termination</w:t>
      </w:r>
    </w:p>
    <w:p>
      <w:r>
        <w:t>All incidents are tagged with severity and mapped to service tiers. Regional teams in EU follow the same policy with localized legal review. Escalations should follow the on-call rotation with a response target of 15 minutes. Escalations should follow the on-call rotation with a response target of 15 minutes.</w:t>
      </w:r>
    </w:p>
    <w:p>
      <w:pPr>
        <w:pStyle w:val="ListBullet"/>
      </w:pPr>
      <w:r>
        <w:t>Evidence artifacts are retained in Jira for at least 18 months.</w:t>
      </w:r>
    </w:p>
    <w:p>
      <w:pPr>
        <w:pStyle w:val="ListBullet"/>
      </w:pPr>
      <w:r>
        <w:t>All incidents are tagged with severity and mapped to service tiers.</w:t>
      </w:r>
    </w:p>
    <w:p>
      <w:pPr>
        <w:pStyle w:val="ListBullet"/>
      </w:pPr>
      <w:r>
        <w:t>The Finance team coordinates with Release Manager to maintain operational readiness.</w:t>
      </w:r>
    </w:p>
    <w:p>
      <w:pPr>
        <w:pStyle w:val="ListBullet"/>
      </w:pPr>
      <w:r>
        <w:t>Systems are monitored via GCP and alert routing in Jira.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