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Procurement Policies - Finance US v1.0</w:t>
      </w:r>
    </w:p>
    <w:p>
      <w:r>
        <w:t>Department: Finance</w:t>
      </w:r>
    </w:p>
    <w:p>
      <w:r>
        <w:t>Author: Riley Nguyen</w:t>
      </w:r>
    </w:p>
    <w:p>
      <w:r>
        <w:t>Created date: 2024-09-06</w:t>
      </w:r>
    </w:p>
    <w:p>
      <w:r>
        <w:t>Region: US</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Procurement Scope</w:t>
      </w:r>
    </w:p>
    <w:p>
      <w:r>
        <w:t>Evidence artifacts are retained in SAP for at least 24 months. Regional teams in US follow the same policy with localized legal review. The process integrates with ERP System and depends on ServiceNow for telemetry signals. Audit sampling occurs monthly and is summarized in leadership dashboards.</w:t>
      </w:r>
    </w:p>
    <w:p>
      <w:pPr>
        <w:pStyle w:val="ListBullet"/>
      </w:pPr>
      <w:r>
        <w:t>The process integrates with ERP System and depends on ServiceNow for telemetry signals.</w:t>
      </w:r>
    </w:p>
    <w:p>
      <w:pPr>
        <w:pStyle w:val="ListBullet"/>
      </w:pPr>
      <w:r>
        <w:t>Teams must log requests in SAP and track outcomes in ERP System for audit readiness.</w:t>
      </w:r>
    </w:p>
    <w:p>
      <w:pPr>
        <w:pStyle w:val="ListBullet"/>
      </w:pPr>
      <w:r>
        <w:t>All incidents are tagged with severity and mapped to service tiers.</w:t>
      </w:r>
    </w:p>
    <w:p>
      <w:pPr>
        <w:pStyle w:val="ListBullet"/>
      </w:pPr>
      <w:r>
        <w:t>The Finance organization uses ServiceNow to enforce consistent service baselines.</w:t>
      </w:r>
    </w:p>
    <w:p>
      <w:pPr>
        <w:pStyle w:val="ListBullet"/>
      </w:pPr>
      <w:r>
        <w:t>This document aligns with SOX requirements and supports US data residency expectations.</w:t>
      </w:r>
    </w:p>
    <w:p>
      <w:pPr>
        <w:pStyle w:val="ListBullet"/>
      </w:pPr>
      <w:r>
        <w:t>The Finance organization uses ServiceNow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Compliance Manager</w:t>
            </w:r>
          </w:p>
        </w:tc>
        <w:tc>
          <w:tcPr>
            <w:tcW w:type="dxa" w:w="2880"/>
          </w:tcPr>
          <w:p>
            <w:r>
              <w:t>Blocked</w:t>
            </w:r>
          </w:p>
        </w:tc>
      </w:tr>
      <w:tr>
        <w:tc>
          <w:tcPr>
            <w:tcW w:type="dxa" w:w="2880"/>
          </w:tcPr>
          <w:p>
            <w:r>
              <w:t>Incident drill</w:t>
            </w:r>
          </w:p>
        </w:tc>
        <w:tc>
          <w:tcPr>
            <w:tcW w:type="dxa" w:w="2880"/>
          </w:tcPr>
          <w:p>
            <w:r>
              <w:t>Operations</w:t>
            </w:r>
          </w:p>
        </w:tc>
        <w:tc>
          <w:tcPr>
            <w:tcW w:type="dxa" w:w="2880"/>
          </w:tcPr>
          <w:p>
            <w:r>
              <w:t>Planned</w:t>
            </w:r>
          </w:p>
        </w:tc>
      </w:tr>
      <w:tr>
        <w:tc>
          <w:tcPr>
            <w:tcW w:type="dxa" w:w="2880"/>
          </w:tcPr>
          <w:p>
            <w:r>
              <w:t>Patch window</w:t>
            </w:r>
          </w:p>
        </w:tc>
        <w:tc>
          <w:tcPr>
            <w:tcW w:type="dxa" w:w="2880"/>
          </w:tcPr>
          <w:p>
            <w:r>
              <w:t>Finance</w:t>
            </w:r>
          </w:p>
        </w:tc>
        <w:tc>
          <w:tcPr>
            <w:tcW w:type="dxa" w:w="2880"/>
          </w:tcPr>
          <w:p>
            <w:r>
              <w:t>In Progress</w:t>
            </w:r>
          </w:p>
        </w:tc>
      </w:tr>
    </w:tbl>
    <w:p>
      <w:pPr>
        <w:pStyle w:val="Heading1"/>
      </w:pPr>
      <w:r>
        <w:t>Vendor Selection</w:t>
      </w:r>
    </w:p>
    <w:p>
      <w:r>
        <w:t>Stakeholders include the Compliance Manager, service owner, and compliance lead for approvals. Teams must log requests in SAP and track outcomes in ERP System for audit readiness. All incidents are tagged with severity and mapped to service tiers. We prioritize customer impact, data integrity, and regulatory alignment.</w:t>
      </w:r>
    </w:p>
    <w:p>
      <w:pPr>
        <w:pStyle w:val="ListBullet"/>
      </w:pPr>
      <w:r>
        <w:t>All changes require peer review and validation in the ERP System before production promotion.</w:t>
      </w:r>
    </w:p>
    <w:p>
      <w:pPr>
        <w:pStyle w:val="ListBullet"/>
      </w:pPr>
      <w:r>
        <w:t>Teams must log requests in SAP and track outcomes in ERP System for audit readiness.</w:t>
      </w:r>
    </w:p>
    <w:p>
      <w:pPr>
        <w:pStyle w:val="ListBullet"/>
      </w:pPr>
      <w:r>
        <w:t>Systems are monitored via ServiceNow and alert routing in SAP.</w:t>
      </w:r>
    </w:p>
    <w:p>
      <w:pPr>
        <w:pStyle w:val="Heading1"/>
      </w:pPr>
      <w:r>
        <w:t>Contract Review</w:t>
      </w:r>
    </w:p>
    <w:p>
      <w:r>
        <w:t>The Finance team coordinates with Compliance Manager to maintain operational readiness. Audit sampling occurs monthly and is summarized in leadership dashboards.</w:t>
      </w:r>
    </w:p>
    <w:p>
      <w:r>
        <w:t>All changes require peer review and validation in the ERP System before production promotion. Evidence artifacts are retained in SAP for at least 24 months.</w:t>
      </w:r>
    </w:p>
    <w:p>
      <w:pPr>
        <w:pStyle w:val="ListBullet"/>
      </w:pPr>
      <w:r>
        <w:t>The Finance organization uses ServiceNow to enforce consistent service baselines.</w:t>
      </w:r>
    </w:p>
    <w:p>
      <w:pPr>
        <w:pStyle w:val="ListBullet"/>
      </w:pPr>
      <w:r>
        <w:t>The Finance team coordinates with Compliance Manager to maintain operational readiness.</w:t>
      </w:r>
    </w:p>
    <w:p>
      <w:pPr>
        <w:pStyle w:val="ListBullet"/>
      </w:pPr>
      <w:r>
        <w:t>Teams must log requests in SAP and track outcomes in ERP System for audit readiness.</w:t>
      </w:r>
    </w:p>
    <w:p>
      <w:pPr>
        <w:pStyle w:val="ListBullet"/>
      </w:pPr>
      <w:r>
        <w:t>Systems are monitored via ServiceNow and alert routing in SAP.</w:t>
      </w:r>
    </w:p>
    <w:p>
      <w:pPr>
        <w:pStyle w:val="Heading1"/>
      </w:pPr>
      <w:r>
        <w:t>Purchase Order</w:t>
      </w:r>
    </w:p>
    <w:p>
      <w:r>
        <w:t>Teams must log requests in SAP and track outcomes in ERP System for audit readiness. Stakeholders include the Compliance Manager, service owner, and compliance lead for approvals. This document aligns with SOX requirements and supports US data residency expectations.</w:t>
      </w:r>
    </w:p>
    <w:p>
      <w:pPr>
        <w:pStyle w:val="ListBullet"/>
      </w:pPr>
      <w:r>
        <w:t>Regional teams in US follow the same policy with localized legal review.</w:t>
      </w:r>
    </w:p>
    <w:p>
      <w:pPr>
        <w:pStyle w:val="ListBullet"/>
      </w:pPr>
      <w:r>
        <w:t>Systems are monitored via ServiceNow and alert routing in SAP.</w:t>
      </w:r>
    </w:p>
    <w:p>
      <w:pPr>
        <w:pStyle w:val="ListBullet"/>
      </w:pPr>
      <w:r>
        <w:t>Risk acceptance must be documented and revalidated each quarter.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Compliance Manager</w:t>
            </w:r>
          </w:p>
        </w:tc>
        <w:tc>
          <w:tcPr>
            <w:tcW w:type="dxa" w:w="2880"/>
          </w:tcPr>
          <w:p>
            <w:r>
              <w:t>Complete</w:t>
            </w:r>
          </w:p>
        </w:tc>
      </w:tr>
      <w:tr>
        <w:tc>
          <w:tcPr>
            <w:tcW w:type="dxa" w:w="2880"/>
          </w:tcPr>
          <w:p>
            <w:r>
              <w:t>Incident drill</w:t>
            </w:r>
          </w:p>
        </w:tc>
        <w:tc>
          <w:tcPr>
            <w:tcW w:type="dxa" w:w="2880"/>
          </w:tcPr>
          <w:p>
            <w:r>
              <w:t>Operations</w:t>
            </w:r>
          </w:p>
        </w:tc>
        <w:tc>
          <w:tcPr>
            <w:tcW w:type="dxa" w:w="2880"/>
          </w:tcPr>
          <w:p>
            <w:r>
              <w:t>Planned</w:t>
            </w:r>
          </w:p>
        </w:tc>
      </w:tr>
    </w:tbl>
    <w:p>
      <w:pPr>
        <w:pStyle w:val="Heading1"/>
      </w:pPr>
      <w:r>
        <w:t>Renewal and Termination</w:t>
      </w:r>
    </w:p>
    <w:p>
      <w:r>
        <w:t>We prioritize customer impact, data integrity, and regulatory alignment. Evidence artifacts are retained in SAP for at least 24 months.</w:t>
      </w:r>
    </w:p>
    <w:p>
      <w:r>
        <w:t>The process integrates with ERP System and depends on ServiceNow for telemetry signals. Regional teams in US follow the same policy with localized legal review. Risk acceptance must be documented and revalidated each quarter. The Finance organization uses ServiceNow to enforce consistent service baselines.</w:t>
      </w:r>
    </w:p>
    <w:p>
      <w:pPr>
        <w:pStyle w:val="ListBullet"/>
      </w:pPr>
      <w:r>
        <w:t>Regional teams in US follow the same policy with localized legal review.</w:t>
      </w:r>
    </w:p>
    <w:p>
      <w:pPr>
        <w:pStyle w:val="ListBullet"/>
      </w:pPr>
      <w:r>
        <w:t>Stakeholders include the Compliance Manager, service owner, and compliance lead for approvals.</w:t>
      </w:r>
    </w:p>
    <w:p>
      <w:pPr>
        <w:pStyle w:val="ListBullet"/>
      </w:pPr>
      <w:r>
        <w:t>Risk acceptance must be documented and revalidated each quarter.</w:t>
      </w:r>
    </w:p>
    <w:p>
      <w:pPr>
        <w:pStyle w:val="ListBullet"/>
      </w:pPr>
      <w:r>
        <w:t>This document aligns with SOX requirements and supports US data residency expectations.</w:t>
      </w:r>
    </w:p>
    <w:p>
      <w:pPr>
        <w:pStyle w:val="ListBullet"/>
      </w:pPr>
      <w:r>
        <w:t>Regional teams in US follow the same policy with localized legal review.</w:t>
      </w:r>
    </w:p>
    <w:p>
      <w:pPr>
        <w:pStyle w:val="ListBullet"/>
      </w:pPr>
      <w:r>
        <w:t>We prioritize customer impact, data integrity, and regulatory alignment.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