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Information Technology APAC v2.0</w:t>
      </w:r>
    </w:p>
    <w:p>
      <w:r>
        <w:t>Department: Information Technology</w:t>
      </w:r>
    </w:p>
    <w:p>
      <w:r>
        <w:t>Author: Taylor Smith</w:t>
      </w:r>
    </w:p>
    <w:p>
      <w:r>
        <w:t>Created date: 2026-01-01</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Stakeholders include the Compliance Manager, service owner, and compliance lead for approvals. Audit sampling occurs monthly and is summarized in leadership dashboards. The Information Technology team coordinates with Compliance Manager to maintain operational readiness. Teams must log requests in Confluence and track outcomes in Document Repository for audit readiness.</w:t>
      </w:r>
    </w:p>
    <w:p>
      <w:pPr>
        <w:pStyle w:val="ListBullet"/>
      </w:pPr>
      <w:r>
        <w:t>The Information Technology organization uses Azure AD to enforce consistent service baselines.</w:t>
      </w:r>
    </w:p>
    <w:p>
      <w:pPr>
        <w:pStyle w:val="ListBullet"/>
      </w:pPr>
      <w:r>
        <w:t>The Information Technology team coordinates with Compliance Manager to maintain operational readiness.</w:t>
      </w:r>
    </w:p>
    <w:p>
      <w:pPr>
        <w:pStyle w:val="ListBullet"/>
      </w:pPr>
      <w:r>
        <w:t>Systems are monitored via Azure AD and alert routing in Confluence.</w:t>
      </w:r>
    </w:p>
    <w:p>
      <w:pPr>
        <w:pStyle w:val="Heading1"/>
      </w:pPr>
      <w:r>
        <w:t>Vendor Selection</w:t>
      </w:r>
    </w:p>
    <w:p>
      <w:r>
        <w:t>Stakeholders include the Compliance Manager, service owner, and compliance lead for approvals. Regional teams in APAC follow the same policy with localized legal review. Regional teams in APAC follow the same policy with localized legal review.</w:t>
      </w:r>
    </w:p>
    <w:p>
      <w:r>
        <w:t>Teams must log requests in Confluence and track outcomes in Document Repository for audit readiness. All changes require peer review and validation in the Document Repository before production promotion.</w:t>
      </w:r>
    </w:p>
    <w:p>
      <w:pPr>
        <w:pStyle w:val="ListBullet"/>
      </w:pPr>
      <w:r>
        <w:t>Escalations should follow the on-call rotation with a response target of 30 minutes.</w:t>
      </w:r>
    </w:p>
    <w:p>
      <w:pPr>
        <w:pStyle w:val="ListBullet"/>
      </w:pPr>
      <w:r>
        <w:t>The Information Technology organization uses Azure AD to enforce consistent service baselines.</w:t>
      </w:r>
    </w:p>
    <w:p>
      <w:pPr>
        <w:pStyle w:val="ListBullet"/>
      </w:pPr>
      <w:r>
        <w:t>Regional teams in APAC follow the same policy with localized legal review.</w:t>
      </w:r>
    </w:p>
    <w:p>
      <w:pPr>
        <w:pStyle w:val="ListBullet"/>
      </w:pPr>
      <w:r>
        <w:t>All changes require peer review and validation in the Document Repository before production promotion.</w:t>
      </w:r>
    </w:p>
    <w:p>
      <w:pPr>
        <w:pStyle w:val="Heading1"/>
      </w:pPr>
      <w:r>
        <w:t>Contract Review</w:t>
      </w:r>
    </w:p>
    <w:p>
      <w:r>
        <w:t>Regional teams in APAC follow the same policy with localized legal review. Evidence artifacts are retained in Confluence for at least 24 months. All changes require peer review and validation in the Document Repository before production promotion. Regional teams in APAC follow the same policy with localized legal review.</w:t>
      </w:r>
    </w:p>
    <w:p>
      <w:pPr>
        <w:pStyle w:val="ListBullet"/>
      </w:pPr>
      <w:r>
        <w:t>All changes require peer review and validation in the Document Repository before production promotion.</w:t>
      </w:r>
    </w:p>
    <w:p>
      <w:pPr>
        <w:pStyle w:val="ListBullet"/>
      </w:pPr>
      <w:r>
        <w:t>This document aligns with SOC 2 requirements and supports APAC data residency expectations.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Audit sampling occurs monthly and is summarized in leadership dashboards.</w:t>
      </w:r>
    </w:p>
    <w:p>
      <w:pPr>
        <w:pStyle w:val="Heading1"/>
      </w:pPr>
      <w:r>
        <w:t>Purchase Order</w:t>
      </w:r>
    </w:p>
    <w:p>
      <w:r>
        <w:t>We prioritize customer impact, data integrity, and regulatory alignment. Teams must log requests in Confluence and track outcomes in Document Repository for audit readiness. Evidence artifacts are retained in Confluence for at least 24 months.</w:t>
      </w:r>
    </w:p>
    <w:p>
      <w:r>
        <w:t>Teams must log requests in Confluence and track outcomes in Document Repository for audit readiness. Audit sampling occurs monthly and is summarized in leadership dashboards. All incidents are tagged with severity and mapped to service tiers.</w:t>
      </w:r>
    </w:p>
    <w:p>
      <w:pPr>
        <w:pStyle w:val="ListBullet"/>
      </w:pPr>
      <w:r>
        <w:t>Evidence artifacts are retained in Confluence for at least 24 months.</w:t>
      </w:r>
    </w:p>
    <w:p>
      <w:pPr>
        <w:pStyle w:val="ListBullet"/>
      </w:pPr>
      <w:r>
        <w:t>All incidents are tagged with severity and mapped to service tiers.</w:t>
      </w:r>
    </w:p>
    <w:p>
      <w:pPr>
        <w:pStyle w:val="ListBullet"/>
      </w:pPr>
      <w:r>
        <w:t>All changes require peer review and validation in the Document Repository before production promotion.</w:t>
      </w:r>
    </w:p>
    <w:p>
      <w:pPr>
        <w:pStyle w:val="Heading1"/>
      </w:pPr>
      <w:r>
        <w:t>Renewal and Termination</w:t>
      </w:r>
    </w:p>
    <w:p>
      <w:r>
        <w:t>The process integrates with Document Repository and depends on Azure AD for telemetry signals. The Information Technology team coordinates with Compliance Manager to maintain operational readiness. Stakeholders include the Compliance Manager, service owner, and compliance lead for approvals. Regional teams in APAC follow the same policy with localized legal review.</w:t>
      </w:r>
    </w:p>
    <w:p>
      <w:r>
        <w:t>The process integrates with Document Repository and depends on Azure AD for telemetry signals. Teams must log requests in Confluence and track outcomes in Document Repository for audit readiness. The Information Technology team coordinates with Compliance Manager to maintain operational readiness.</w:t>
      </w:r>
    </w:p>
    <w:p>
      <w:pPr>
        <w:pStyle w:val="ListBullet"/>
      </w:pPr>
      <w:r>
        <w:t>All incidents are tagged with severity and mapped to service tiers.</w:t>
      </w:r>
    </w:p>
    <w:p>
      <w:pPr>
        <w:pStyle w:val="ListBullet"/>
      </w:pPr>
      <w:r>
        <w:t>This document aligns with SOC 2 requirements and supports APAC data residency expectations.</w:t>
      </w:r>
    </w:p>
    <w:p>
      <w:pPr>
        <w:pStyle w:val="ListBullet"/>
      </w:pPr>
      <w:r>
        <w:t>We prioritize customer impact, data integrity, and regulatory alignment.</w:t>
      </w:r>
    </w:p>
    <w:p>
      <w:pPr>
        <w:pStyle w:val="ListBullet"/>
      </w:pPr>
      <w:r>
        <w:t>The process integrates with Document Repository and depends on Azure AD for telemetry signals.</w:t>
      </w:r>
    </w:p>
    <w:p>
      <w:pPr>
        <w:pStyle w:val="ListBullet"/>
      </w:pPr>
      <w:r>
        <w:t>All incidents are tagged with severity and mapped to service tiers.</w:t>
      </w:r>
    </w:p>
    <w:p>
      <w:pPr>
        <w:pStyle w:val="ListBullet"/>
      </w:pPr>
      <w:r>
        <w:t>Systems are monitored via Azure AD and alert routing in Confluence.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