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APAC v1.2</w:t>
      </w:r>
    </w:p>
    <w:p>
      <w:r>
        <w:t>Department: Information Technology</w:t>
      </w:r>
    </w:p>
    <w:p>
      <w:r>
        <w:t>Author: Jordan Lee</w:t>
      </w:r>
    </w:p>
    <w:p>
      <w:r>
        <w:t>Created date: 2025-04-25</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We prioritize customer impact, data integrity, and regulatory alignment. This document aligns with HIPAA requirements and supports APAC data residency expectations.</w:t>
      </w:r>
    </w:p>
    <w:p>
      <w:r>
        <w:t>All incidents are tagged with severity and mapped to service tiers. Escalations should follow the on-call rotation with a response target of 60 minutes.</w:t>
      </w:r>
    </w:p>
    <w:p>
      <w:pPr>
        <w:pStyle w:val="ListBullet"/>
      </w:pPr>
      <w:r>
        <w:t>The Information Technology organization uses AWS to enforce consistent service baselines.</w:t>
      </w:r>
    </w:p>
    <w:p>
      <w:pPr>
        <w:pStyle w:val="ListBullet"/>
      </w:pPr>
      <w:r>
        <w:t>Regional teams in APAC follow the same policy with localized legal review.</w:t>
      </w:r>
    </w:p>
    <w:p>
      <w:pPr>
        <w:pStyle w:val="ListBullet"/>
      </w:pPr>
      <w:r>
        <w:t>This document aligns with HIPAA requirements and supports APAC data residency expectations.</w:t>
      </w:r>
    </w:p>
    <w:p>
      <w:pPr>
        <w:pStyle w:val="ListBullet"/>
      </w:pPr>
      <w:r>
        <w:t>Teams must log requests in Slack and track outcomes in Document Repository for audit readiness.</w:t>
      </w:r>
    </w:p>
    <w:p>
      <w:pPr>
        <w:pStyle w:val="Heading1"/>
      </w:pPr>
      <w:r>
        <w:t>Vendor Selection</w:t>
      </w:r>
    </w:p>
    <w:p>
      <w:r>
        <w:t>Teams must log requests in Slack and track outcomes in Document Repository for audit readiness. Audit sampling occurs monthly and is summarized in leadership dashboards. The process integrates with Document Repository and depends on AWS for telemetry signals. Regional teams in APAC follow the same policy with localized legal review.</w:t>
      </w:r>
    </w:p>
    <w:p>
      <w:pPr>
        <w:pStyle w:val="ListBullet"/>
      </w:pPr>
      <w:r>
        <w:t>Regional teams in APAC follow the same policy with localized legal review.</w:t>
      </w:r>
    </w:p>
    <w:p>
      <w:pPr>
        <w:pStyle w:val="ListBullet"/>
      </w:pPr>
      <w:r>
        <w:t>The Information Technology organization uses AWS to enforce consistent service baselines.</w:t>
      </w:r>
    </w:p>
    <w:p>
      <w:pPr>
        <w:pStyle w:val="ListBullet"/>
      </w:pPr>
      <w:r>
        <w:t>The Information Technology organization uses AWS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HR Business Partner</w:t>
            </w:r>
          </w:p>
        </w:tc>
        <w:tc>
          <w:tcPr>
            <w:tcW w:type="dxa" w:w="2880"/>
          </w:tcPr>
          <w:p>
            <w:r>
              <w:t>Planned</w:t>
            </w:r>
          </w:p>
        </w:tc>
      </w:tr>
      <w:tr>
        <w:tc>
          <w:tcPr>
            <w:tcW w:type="dxa" w:w="2880"/>
          </w:tcPr>
          <w:p>
            <w:r>
              <w:t>Backup validation</w:t>
            </w:r>
          </w:p>
        </w:tc>
        <w:tc>
          <w:tcPr>
            <w:tcW w:type="dxa" w:w="2880"/>
          </w:tcPr>
          <w:p>
            <w:r>
              <w:t>HR Business Partner</w:t>
            </w:r>
          </w:p>
        </w:tc>
        <w:tc>
          <w:tcPr>
            <w:tcW w:type="dxa" w:w="2880"/>
          </w:tcPr>
          <w:p>
            <w:r>
              <w:t>In Progress</w:t>
            </w:r>
          </w:p>
        </w:tc>
      </w:tr>
      <w:tr>
        <w:tc>
          <w:tcPr>
            <w:tcW w:type="dxa" w:w="2880"/>
          </w:tcPr>
          <w:p>
            <w:r>
              <w:t>Patch window</w:t>
            </w:r>
          </w:p>
        </w:tc>
        <w:tc>
          <w:tcPr>
            <w:tcW w:type="dxa" w:w="2880"/>
          </w:tcPr>
          <w:p>
            <w:r>
              <w:t>Operations</w:t>
            </w:r>
          </w:p>
        </w:tc>
        <w:tc>
          <w:tcPr>
            <w:tcW w:type="dxa" w:w="2880"/>
          </w:tcPr>
          <w:p>
            <w:r>
              <w:t>Blocked</w:t>
            </w:r>
          </w:p>
        </w:tc>
      </w:tr>
      <w:tr>
        <w:tc>
          <w:tcPr>
            <w:tcW w:type="dxa" w:w="2880"/>
          </w:tcPr>
          <w:p>
            <w:r>
              <w:t>Vendor check</w:t>
            </w:r>
          </w:p>
        </w:tc>
        <w:tc>
          <w:tcPr>
            <w:tcW w:type="dxa" w:w="2880"/>
          </w:tcPr>
          <w:p>
            <w:r>
              <w:t>Information Technology</w:t>
            </w:r>
          </w:p>
        </w:tc>
        <w:tc>
          <w:tcPr>
            <w:tcW w:type="dxa" w:w="2880"/>
          </w:tcPr>
          <w:p>
            <w:r>
              <w:t>Complete</w:t>
            </w:r>
          </w:p>
        </w:tc>
      </w:tr>
    </w:tbl>
    <w:p>
      <w:pPr>
        <w:pStyle w:val="Heading1"/>
      </w:pPr>
      <w:r>
        <w:t>Contract Review</w:t>
      </w:r>
    </w:p>
    <w:p>
      <w:r>
        <w:t>All incidents are tagged with severity and mapped to service tiers. Teams must log requests in Slack and track outcomes in Document Repository for audit readiness. The Information Technology team coordinates with HR Business Partner to maintain operational readiness.</w:t>
      </w:r>
    </w:p>
    <w:p>
      <w:pPr>
        <w:pStyle w:val="ListBullet"/>
      </w:pPr>
      <w:r>
        <w:t>This document aligns with HIPAA requirements and supports APAC data residency expectations.</w:t>
      </w:r>
    </w:p>
    <w:p>
      <w:pPr>
        <w:pStyle w:val="ListBullet"/>
      </w:pPr>
      <w:r>
        <w:t>Risk acceptance must be documented and revalidated each quarter.</w:t>
      </w:r>
    </w:p>
    <w:p>
      <w:pPr>
        <w:pStyle w:val="ListBullet"/>
      </w:pPr>
      <w:r>
        <w:t>Evidence artifacts are retained in Slack for at least 18 months.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This document aligns with HIPAA requirements and supports APAC data residency expectations.</w:t>
      </w:r>
    </w:p>
    <w:p>
      <w:pPr>
        <w:pStyle w:val="Heading1"/>
      </w:pPr>
      <w:r>
        <w:t>Purchase Order</w:t>
      </w:r>
    </w:p>
    <w:p>
      <w:r>
        <w:t>Regional teams in APAC follow the same policy with localized legal review. The Information Technology team coordinates with HR Business Partner to maintain operational readiness.</w:t>
      </w:r>
    </w:p>
    <w:p>
      <w:r>
        <w:t>All incidents are tagged with severity and mapped to service tiers. Audit sampling occurs monthly and is summarized in leadership dashboards. The Information Technology team coordinates with HR Business Partner to maintain operational readiness.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Systems are monitored via AWS and alert routing in Slack.</w:t>
      </w:r>
    </w:p>
    <w:p>
      <w:pPr>
        <w:pStyle w:val="ListBullet"/>
      </w:pPr>
      <w:r>
        <w:t>All changes require peer review and validation in the Document Repository before production promotion.</w:t>
      </w:r>
    </w:p>
    <w:p>
      <w:pPr>
        <w:pStyle w:val="ListBullet"/>
      </w:pPr>
      <w:r>
        <w:t>Evidence artifacts are retained in Slack for at least 18 months.</w:t>
      </w:r>
    </w:p>
    <w:p>
      <w:pPr>
        <w:pStyle w:val="ListBullet"/>
      </w:pPr>
      <w:r>
        <w:t>The Information Technology organization uses AWS to enforce consistent service baselines.</w:t>
      </w:r>
    </w:p>
    <w:p>
      <w:pPr>
        <w:pStyle w:val="Heading1"/>
      </w:pPr>
      <w:r>
        <w:t>Renewal and Termination</w:t>
      </w:r>
    </w:p>
    <w:p>
      <w:r>
        <w:t>This document aligns with HIPAA requirements and supports APAC data residency expectations. The Information Technology team coordinates with HR Business Partner to maintain operational readiness. The process integrates with Document Repository and depends on AWS for telemetry signals.</w:t>
      </w:r>
    </w:p>
    <w:p>
      <w:r>
        <w:t>Evidence artifacts are retained in Slack for at least 18 months. All incidents are tagged with severity and mapped to service tiers.</w:t>
      </w:r>
    </w:p>
    <w:p>
      <w:pPr>
        <w:pStyle w:val="ListBullet"/>
      </w:pPr>
      <w:r>
        <w:t>Risk acceptance must be documented and revalidated each quarter.</w:t>
      </w:r>
    </w:p>
    <w:p>
      <w:pPr>
        <w:pStyle w:val="ListBullet"/>
      </w:pPr>
      <w:r>
        <w:t>This document aligns with HIPAA requirements and supports APAC data residency expectations.</w:t>
      </w:r>
    </w:p>
    <w:p>
      <w:pPr>
        <w:pStyle w:val="ListBullet"/>
      </w:pPr>
      <w:r>
        <w:t>All incidents are tagged with severity and mapped to service tiers.</w:t>
      </w:r>
    </w:p>
    <w:p>
      <w:pPr>
        <w:pStyle w:val="ListBullet"/>
      </w:pPr>
      <w:r>
        <w:t>The process integrates with Document Repository and depends on AWS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