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Procurement Policies - Information Technology EU v1.1</w:t>
      </w:r>
    </w:p>
    <w:p>
      <w:r>
        <w:t>Department: Information Technology</w:t>
      </w:r>
    </w:p>
    <w:p>
      <w:r>
        <w:t>Author: Jordan Patel</w:t>
      </w:r>
    </w:p>
    <w:p>
      <w:r>
        <w:t>Created date: 2026-05-17</w:t>
      </w:r>
    </w:p>
    <w:p>
      <w:r>
        <w:t>Region: EU</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Procurement Scope</w:t>
      </w:r>
    </w:p>
    <w:p>
      <w:r>
        <w:t>Regional teams in EU follow the same policy with localized legal review. Systems are monitored via Datadog and alert routing in SAP. All incidents are tagged with severity and mapped to service tiers. We prioritize customer impact, data integrity, and regulatory alignment.</w:t>
      </w:r>
    </w:p>
    <w:p>
      <w:r>
        <w:t>Audit sampling occurs monthly and is summarized in leadership dashboards. Systems are monitored via Datadog and alert routing in SAP. This document aligns with PCI DSS requirements and supports EU data residency expectations.</w:t>
      </w:r>
    </w:p>
    <w:p>
      <w:pPr>
        <w:pStyle w:val="ListBullet"/>
      </w:pPr>
      <w:r>
        <w:t>Evidence artifacts are retained in SAP for at least 24 months.</w:t>
      </w:r>
    </w:p>
    <w:p>
      <w:pPr>
        <w:pStyle w:val="ListBullet"/>
      </w:pPr>
      <w:r>
        <w:t>Stakeholders include the Support Specialist, service owner, and compliance lead for approvals.</w:t>
      </w:r>
    </w:p>
    <w:p>
      <w:pPr>
        <w:pStyle w:val="ListBullet"/>
      </w:pPr>
      <w:r>
        <w:t>Risk acceptance must be documented and revalidated each quarter.</w:t>
      </w:r>
    </w:p>
    <w:p>
      <w:pPr>
        <w:pStyle w:val="Heading1"/>
      </w:pPr>
      <w:r>
        <w:t>Vendor Selection</w:t>
      </w:r>
    </w:p>
    <w:p>
      <w:r>
        <w:t>Systems are monitored via Datadog and alert routing in SAP. The Information Technology organization uses Datadog to enforce consistent service baselines.</w:t>
      </w:r>
    </w:p>
    <w:p>
      <w:pPr>
        <w:pStyle w:val="ListBullet"/>
      </w:pPr>
      <w:r>
        <w:t>Teams must log requests in SAP and track outcomes in Log Aggregation Cluster for audit readiness.</w:t>
      </w:r>
    </w:p>
    <w:p>
      <w:pPr>
        <w:pStyle w:val="ListBullet"/>
      </w:pPr>
      <w:r>
        <w:t>All changes require peer review and validation in the Log Aggregation Cluster before production promotion.</w:t>
      </w:r>
    </w:p>
    <w:p>
      <w:pPr>
        <w:pStyle w:val="ListBullet"/>
      </w:pPr>
      <w:r>
        <w:t>The Information Technology organization uses Datadog to enforce consistent service baselines.</w:t>
      </w:r>
    </w:p>
    <w:p>
      <w:pPr>
        <w:pStyle w:val="ListBullet"/>
      </w:pPr>
      <w:r>
        <w:t>Evidence artifacts are retained in SAP for at least 24 months.</w:t>
      </w:r>
    </w:p>
    <w:p>
      <w:pPr>
        <w:pStyle w:val="Heading1"/>
      </w:pPr>
      <w:r>
        <w:t>Contract Review</w:t>
      </w:r>
    </w:p>
    <w:p>
      <w:r>
        <w:t>This document aligns with PCI DSS requirements and supports EU data residency expectations. Systems are monitored via Datadog and alert routing in SAP. Teams must log requests in SAP and track outcomes in Log Aggregation Cluster for audit readiness. We prioritize customer impact, data integrity, and regulatory alignment.</w:t>
      </w:r>
    </w:p>
    <w:p>
      <w:r>
        <w:t>We prioritize customer impact, data integrity, and regulatory alignment. This document aligns with PCI DSS requirements and supports EU data residency expectations. Regional teams in EU follow the same policy with localized legal review. This document aligns with PCI DSS requirements and supports EU data residency expectations.</w:t>
      </w:r>
    </w:p>
    <w:p>
      <w:pPr>
        <w:pStyle w:val="ListBullet"/>
      </w:pPr>
      <w:r>
        <w:t>Evidence artifacts are retained in SAP for at least 24 months.</w:t>
      </w:r>
    </w:p>
    <w:p>
      <w:pPr>
        <w:pStyle w:val="ListBullet"/>
      </w:pPr>
      <w:r>
        <w:t>We prioritize customer impact, data integrity, and regulatory alignment.</w:t>
      </w:r>
    </w:p>
    <w:p>
      <w:pPr>
        <w:pStyle w:val="ListBullet"/>
      </w:pPr>
      <w:r>
        <w:t>This document aligns with PCI DSS requirements and supports EU data residency expectations.</w:t>
      </w:r>
    </w:p>
    <w:p>
      <w:pPr>
        <w:pStyle w:val="ListBullet"/>
      </w:pPr>
      <w:r>
        <w:t>Stakeholders include the Support Specialist, service owner, and compliance lead for approvals.</w:t>
      </w:r>
    </w:p>
    <w:p>
      <w:pPr>
        <w:pStyle w:val="ListBullet"/>
      </w:pPr>
      <w:r>
        <w:t>Stakeholders include the Support Specialist,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Information Technology</w:t>
            </w:r>
          </w:p>
        </w:tc>
        <w:tc>
          <w:tcPr>
            <w:tcW w:type="dxa" w:w="2880"/>
          </w:tcPr>
          <w:p>
            <w:r>
              <w:t>Blocked</w:t>
            </w:r>
          </w:p>
        </w:tc>
      </w:tr>
      <w:tr>
        <w:tc>
          <w:tcPr>
            <w:tcW w:type="dxa" w:w="2880"/>
          </w:tcPr>
          <w:p>
            <w:r>
              <w:t>Backup validation</w:t>
            </w:r>
          </w:p>
        </w:tc>
        <w:tc>
          <w:tcPr>
            <w:tcW w:type="dxa" w:w="2880"/>
          </w:tcPr>
          <w:p>
            <w:r>
              <w:t>Security</w:t>
            </w:r>
          </w:p>
        </w:tc>
        <w:tc>
          <w:tcPr>
            <w:tcW w:type="dxa" w:w="2880"/>
          </w:tcPr>
          <w:p>
            <w:r>
              <w:t>Complete</w:t>
            </w:r>
          </w:p>
        </w:tc>
      </w:tr>
      <w:tr>
        <w:tc>
          <w:tcPr>
            <w:tcW w:type="dxa" w:w="2880"/>
          </w:tcPr>
          <w:p>
            <w:r>
              <w:t>Patch window</w:t>
            </w:r>
          </w:p>
        </w:tc>
        <w:tc>
          <w:tcPr>
            <w:tcW w:type="dxa" w:w="2880"/>
          </w:tcPr>
          <w:p>
            <w:r>
              <w:t>Information Technology</w:t>
            </w:r>
          </w:p>
        </w:tc>
        <w:tc>
          <w:tcPr>
            <w:tcW w:type="dxa" w:w="2880"/>
          </w:tcPr>
          <w:p>
            <w:r>
              <w:t>Blocked</w:t>
            </w:r>
          </w:p>
        </w:tc>
      </w:tr>
      <w:tr>
        <w:tc>
          <w:tcPr>
            <w:tcW w:type="dxa" w:w="2880"/>
          </w:tcPr>
          <w:p>
            <w:r>
              <w:t>Access review</w:t>
            </w:r>
          </w:p>
        </w:tc>
        <w:tc>
          <w:tcPr>
            <w:tcW w:type="dxa" w:w="2880"/>
          </w:tcPr>
          <w:p>
            <w:r>
              <w:t>Information Technology</w:t>
            </w:r>
          </w:p>
        </w:tc>
        <w:tc>
          <w:tcPr>
            <w:tcW w:type="dxa" w:w="2880"/>
          </w:tcPr>
          <w:p>
            <w:r>
              <w:t>Blocked</w:t>
            </w:r>
          </w:p>
        </w:tc>
      </w:tr>
    </w:tbl>
    <w:p>
      <w:pPr>
        <w:pStyle w:val="Heading1"/>
      </w:pPr>
      <w:r>
        <w:t>Purchase Order</w:t>
      </w:r>
    </w:p>
    <w:p>
      <w:r>
        <w:t>Stakeholders include the Support Specialist, service owner, and compliance lead for approvals. All incidents are tagged with severity and mapped to service tiers. All changes require peer review and validation in the Log Aggregation Cluster before production promotion.</w:t>
      </w:r>
    </w:p>
    <w:p>
      <w:r>
        <w:t>This document aligns with PCI DSS requirements and supports EU data residency expectations. This document aligns with PCI DSS requirements and supports EU data residency expectations.</w:t>
      </w:r>
    </w:p>
    <w:p>
      <w:pPr>
        <w:pStyle w:val="ListBullet"/>
      </w:pPr>
      <w:r>
        <w:t>The Information Technology organization uses Datadog to enforce consistent service baselines.</w:t>
      </w:r>
    </w:p>
    <w:p>
      <w:pPr>
        <w:pStyle w:val="ListBullet"/>
      </w:pPr>
      <w:r>
        <w:t>We prioritize customer impact, data integrity, and regulatory alignment.</w:t>
      </w:r>
    </w:p>
    <w:p>
      <w:pPr>
        <w:pStyle w:val="ListBullet"/>
      </w:pPr>
      <w:r>
        <w:t>The Information Technology organization uses Datadog to enforce consistent service baselines.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Incident drill</w:t>
            </w:r>
          </w:p>
        </w:tc>
        <w:tc>
          <w:tcPr>
            <w:tcW w:type="dxa" w:w="2880"/>
          </w:tcPr>
          <w:p>
            <w:r>
              <w:t>Information Technology</w:t>
            </w:r>
          </w:p>
        </w:tc>
        <w:tc>
          <w:tcPr>
            <w:tcW w:type="dxa" w:w="2880"/>
          </w:tcPr>
          <w:p>
            <w:r>
              <w:t>Blocked</w:t>
            </w:r>
          </w:p>
        </w:tc>
      </w:tr>
      <w:tr>
        <w:tc>
          <w:tcPr>
            <w:tcW w:type="dxa" w:w="2880"/>
          </w:tcPr>
          <w:p>
            <w:r>
              <w:t>Backup validation</w:t>
            </w:r>
          </w:p>
        </w:tc>
        <w:tc>
          <w:tcPr>
            <w:tcW w:type="dxa" w:w="2880"/>
          </w:tcPr>
          <w:p>
            <w:r>
              <w:t>Security</w:t>
            </w:r>
          </w:p>
        </w:tc>
        <w:tc>
          <w:tcPr>
            <w:tcW w:type="dxa" w:w="2880"/>
          </w:tcPr>
          <w:p>
            <w:r>
              <w:t>In Progress</w:t>
            </w:r>
          </w:p>
        </w:tc>
      </w:tr>
    </w:tbl>
    <w:p>
      <w:pPr>
        <w:pStyle w:val="Heading1"/>
      </w:pPr>
      <w:r>
        <w:t>Renewal and Termination</w:t>
      </w:r>
    </w:p>
    <w:p>
      <w:r>
        <w:t>Regional teams in EU follow the same policy with localized legal review. Regional teams in EU follow the same policy with localized legal review. Escalations should follow the on-call rotation with a response target of 30 minutes. The Information Technology organization uses Datadog to enforce consistent service baselines.</w:t>
      </w:r>
    </w:p>
    <w:p>
      <w:pPr>
        <w:pStyle w:val="ListBullet"/>
      </w:pPr>
      <w:r>
        <w:t>The Information Technology organization uses Datadog to enforce consistent service baselines.</w:t>
      </w:r>
    </w:p>
    <w:p>
      <w:pPr>
        <w:pStyle w:val="ListBullet"/>
      </w:pPr>
      <w:r>
        <w:t>Systems are monitored via Datadog and alert routing in SAP.</w:t>
      </w:r>
    </w:p>
    <w:p>
      <w:pPr>
        <w:pStyle w:val="ListBullet"/>
      </w:pPr>
      <w:r>
        <w:t>The process integrates with Log Aggregation Cluster and depends on Datadog for telemetry signals.</w:t>
      </w:r>
    </w:p>
    <w:p>
      <w:pPr>
        <w:pStyle w:val="ListBullet"/>
      </w:pPr>
      <w:r>
        <w:t>Systems are monitored via Datadog and alert routing in SAP.</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