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Procurement Policies - Legal EU v1.1</w:t>
      </w:r>
    </w:p>
    <w:p>
      <w:r>
        <w:t>Department: Legal</w:t>
      </w:r>
    </w:p>
    <w:p>
      <w:r>
        <w:t>Author: Taylor Garcia</w:t>
      </w:r>
    </w:p>
    <w:p>
      <w:r>
        <w:t>Created date: 2025-05-19</w:t>
      </w:r>
    </w:p>
    <w:p>
      <w:r>
        <w:t>Region: EU</w:t>
      </w:r>
    </w:p>
    <w:p>
      <w:r>
        <w:t>Version: 1.1</w:t>
      </w:r>
    </w:p>
    <w:p>
      <w:r>
        <w:t>This internal document is intended for authorized employees and outlines standard guidance for enterprise operations.</w:t>
      </w:r>
    </w:p>
    <w:p>
      <w:r>
        <w:t>Where possible, teams should reuse existing patterns, templates, and approved tooling to reduce operational risk.</w:t>
      </w:r>
    </w:p>
    <w:p>
      <w:r>
        <w:t>Any deviation from the described process must be approved through the documented exception workflow.</w:t>
      </w:r>
    </w:p>
    <w:p>
      <w:pPr>
        <w:pStyle w:val="Heading1"/>
      </w:pPr>
      <w:r>
        <w:t>Procurement Scope</w:t>
      </w:r>
    </w:p>
    <w:p>
      <w:r>
        <w:t>We prioritize customer impact, data integrity, and regulatory alignment. Regional teams in EU follow the same policy with localized legal review. The process integrates with Document Repository and depends on Vault for telemetry signals. The process integrates with Document Repository and depends on Vault for telemetry signals.</w:t>
      </w:r>
    </w:p>
    <w:p>
      <w:r>
        <w:t>Escalations should follow the on-call rotation with a response target of 15 minutes. The Legal team coordinates with Procurement Lead to maintain operational readiness. Audit sampling occurs monthly and is summarized in leadership dashboards.</w:t>
      </w:r>
    </w:p>
    <w:p>
      <w:pPr>
        <w:pStyle w:val="ListBullet"/>
      </w:pPr>
      <w:r>
        <w:t>The Legal team coordinates with Procurement Lead to maintain operational readiness.</w:t>
      </w:r>
    </w:p>
    <w:p>
      <w:pPr>
        <w:pStyle w:val="ListBullet"/>
      </w:pPr>
      <w:r>
        <w:t>Audit sampling occurs monthly and is summarized in leadership dashboards.</w:t>
      </w:r>
    </w:p>
    <w:p>
      <w:pPr>
        <w:pStyle w:val="ListBullet"/>
      </w:pPr>
      <w:r>
        <w:t>Stakeholders include the Procurement Lead, service owner, and compliance lead for approvals.</w:t>
      </w:r>
    </w:p>
    <w:p>
      <w:pPr>
        <w:pStyle w:val="ListBullet"/>
      </w:pPr>
      <w:r>
        <w:t>The process integrates with Document Repository and depends on Vault for telemetry signals.</w:t>
      </w:r>
    </w:p>
    <w:p>
      <w:pPr>
        <w:pStyle w:val="Heading1"/>
      </w:pPr>
      <w:r>
        <w:t>Vendor Selection</w:t>
      </w:r>
    </w:p>
    <w:p>
      <w:r>
        <w:t>All changes require peer review and validation in the Document Repository before production promotion. Audit sampling occurs monthly and is summarized in leadership dashboards. All changes require peer review and validation in the Document Repository before production promotion.</w:t>
      </w:r>
    </w:p>
    <w:p>
      <w:r>
        <w:t>The Legal organization uses Vault to enforce consistent service baselines. We prioritize customer impact, data integrity, and regulatory alignment.</w:t>
      </w:r>
    </w:p>
    <w:p>
      <w:pPr>
        <w:pStyle w:val="ListBullet"/>
      </w:pPr>
      <w:r>
        <w:t>This document aligns with ISO 27001 requirements and supports EU data residency expectations.</w:t>
      </w:r>
    </w:p>
    <w:p>
      <w:pPr>
        <w:pStyle w:val="ListBullet"/>
      </w:pPr>
      <w:r>
        <w:t>All incidents are tagged with severity and mapped to service tiers.</w:t>
      </w:r>
    </w:p>
    <w:p>
      <w:pPr>
        <w:pStyle w:val="ListBullet"/>
      </w:pPr>
      <w:r>
        <w:t>Escalations should follow the on-call rotation with a response target of 15 minutes.</w:t>
      </w:r>
    </w:p>
    <w:p>
      <w:pPr>
        <w:pStyle w:val="ListBullet"/>
      </w:pPr>
      <w:r>
        <w:t>Systems are monitored via Vault and alert routing in Salesforce.</w:t>
      </w:r>
    </w:p>
    <w:p>
      <w:pPr>
        <w:pStyle w:val="ListBullet"/>
      </w:pPr>
      <w:r>
        <w:t>We prioritize customer impact, data integrity, and regulatory alignment.</w:t>
      </w:r>
    </w:p>
    <w:p>
      <w:pPr>
        <w:pStyle w:val="Heading1"/>
      </w:pPr>
      <w:r>
        <w:t>Contract Review</w:t>
      </w:r>
    </w:p>
    <w:p>
      <w:r>
        <w:t>The Legal organization uses Vault to enforce consistent service baselines. Teams must log requests in Salesforce and track outcomes in Document Repository for audit readiness. Escalations should follow the on-call rotation with a response target of 15 minutes.</w:t>
      </w:r>
    </w:p>
    <w:p>
      <w:pPr>
        <w:pStyle w:val="ListBullet"/>
      </w:pPr>
      <w:r>
        <w:t>All changes require peer review and validation in the Document Repository before production promotion.</w:t>
      </w:r>
    </w:p>
    <w:p>
      <w:pPr>
        <w:pStyle w:val="ListBullet"/>
      </w:pPr>
      <w:r>
        <w:t>This document aligns with ISO 27001 requirements and supports EU data residency expectations.</w:t>
      </w:r>
    </w:p>
    <w:p>
      <w:pPr>
        <w:pStyle w:val="ListBullet"/>
      </w:pPr>
      <w:r>
        <w:t>The process integrates with Document Repository and depends on Vault for telemetry signals.</w:t>
      </w:r>
    </w:p>
    <w:p>
      <w:pPr>
        <w:pStyle w:val="ListBullet"/>
      </w:pPr>
      <w:r>
        <w:t>Escalations should follow the on-call rotation with a response target of 15 minutes.</w:t>
      </w:r>
    </w:p>
    <w:tbl>
      <w:tblPr>
        <w:tblW w:type="auto" w:w="0"/>
        <w:tblLook w:firstColumn="1" w:firstRow="1" w:lastColumn="0" w:lastRow="0" w:noHBand="0" w:noVBand="1" w:val="04A0"/>
      </w:tblPr>
      <w:tblGrid>
        <w:gridCol w:w="2880"/>
        <w:gridCol w:w="2880"/>
        <w:gridCol w:w="2880"/>
      </w:tblGrid>
      <w:tr>
        <w:tc>
          <w:tcPr>
            <w:tcW w:type="dxa" w:w="2880"/>
          </w:tcPr>
          <w:p>
            <w:r>
              <w:t>Item</w:t>
            </w:r>
          </w:p>
        </w:tc>
        <w:tc>
          <w:tcPr>
            <w:tcW w:type="dxa" w:w="2880"/>
          </w:tcPr>
          <w:p>
            <w:r>
              <w:t>Owner</w:t>
            </w:r>
          </w:p>
        </w:tc>
        <w:tc>
          <w:tcPr>
            <w:tcW w:type="dxa" w:w="2880"/>
          </w:tcPr>
          <w:p>
            <w:r>
              <w:t>Status</w:t>
            </w:r>
          </w:p>
        </w:tc>
      </w:tr>
      <w:tr>
        <w:tc>
          <w:tcPr>
            <w:tcW w:type="dxa" w:w="2880"/>
          </w:tcPr>
          <w:p>
            <w:r>
              <w:t>Incident drill</w:t>
            </w:r>
          </w:p>
        </w:tc>
        <w:tc>
          <w:tcPr>
            <w:tcW w:type="dxa" w:w="2880"/>
          </w:tcPr>
          <w:p>
            <w:r>
              <w:t>Security</w:t>
            </w:r>
          </w:p>
        </w:tc>
        <w:tc>
          <w:tcPr>
            <w:tcW w:type="dxa" w:w="2880"/>
          </w:tcPr>
          <w:p>
            <w:r>
              <w:t>Blocked</w:t>
            </w:r>
          </w:p>
        </w:tc>
      </w:tr>
      <w:tr>
        <w:tc>
          <w:tcPr>
            <w:tcW w:type="dxa" w:w="2880"/>
          </w:tcPr>
          <w:p>
            <w:r>
              <w:t>Backup validation</w:t>
            </w:r>
          </w:p>
        </w:tc>
        <w:tc>
          <w:tcPr>
            <w:tcW w:type="dxa" w:w="2880"/>
          </w:tcPr>
          <w:p>
            <w:r>
              <w:t>Operations</w:t>
            </w:r>
          </w:p>
        </w:tc>
        <w:tc>
          <w:tcPr>
            <w:tcW w:type="dxa" w:w="2880"/>
          </w:tcPr>
          <w:p>
            <w:r>
              <w:t>Complete</w:t>
            </w:r>
          </w:p>
        </w:tc>
      </w:tr>
      <w:tr>
        <w:tc>
          <w:tcPr>
            <w:tcW w:type="dxa" w:w="2880"/>
          </w:tcPr>
          <w:p>
            <w:r>
              <w:t>Vendor check</w:t>
            </w:r>
          </w:p>
        </w:tc>
        <w:tc>
          <w:tcPr>
            <w:tcW w:type="dxa" w:w="2880"/>
          </w:tcPr>
          <w:p>
            <w:r>
              <w:t>Procurement Lead</w:t>
            </w:r>
          </w:p>
        </w:tc>
        <w:tc>
          <w:tcPr>
            <w:tcW w:type="dxa" w:w="2880"/>
          </w:tcPr>
          <w:p>
            <w:r>
              <w:t>In Progress</w:t>
            </w:r>
          </w:p>
        </w:tc>
      </w:tr>
    </w:tbl>
    <w:p>
      <w:pPr>
        <w:pStyle w:val="Heading1"/>
      </w:pPr>
      <w:r>
        <w:t>Purchase Order</w:t>
      </w:r>
    </w:p>
    <w:p>
      <w:r>
        <w:t>Risk acceptance must be documented and revalidated each quarter. Evidence artifacts are retained in Salesforce for at least 24 months. Risk acceptance must be documented and revalidated each quarter.</w:t>
      </w:r>
    </w:p>
    <w:p>
      <w:r>
        <w:t>Stakeholders include the Procurement Lead, service owner, and compliance lead for approvals. Evidence artifacts are retained in Salesforce for at least 24 months.</w:t>
      </w:r>
    </w:p>
    <w:p>
      <w:pPr>
        <w:pStyle w:val="ListBullet"/>
      </w:pPr>
      <w:r>
        <w:t>All changes require peer review and validation in the Document Repository before production promotion.</w:t>
      </w:r>
    </w:p>
    <w:p>
      <w:pPr>
        <w:pStyle w:val="ListBullet"/>
      </w:pPr>
      <w:r>
        <w:t>Escalations should follow the on-call rotation with a response target of 15 minutes.</w:t>
      </w:r>
    </w:p>
    <w:p>
      <w:pPr>
        <w:pStyle w:val="ListBullet"/>
      </w:pPr>
      <w:r>
        <w:t>Stakeholders include the Procurement Lead, service owner, and compliance lead for approvals.</w:t>
      </w:r>
    </w:p>
    <w:p>
      <w:pPr>
        <w:pStyle w:val="ListBullet"/>
      </w:pPr>
      <w:r>
        <w:t>The Legal organization uses Vault to enforce consistent service baselines.</w:t>
      </w:r>
    </w:p>
    <w:p>
      <w:pPr>
        <w:pStyle w:val="ListBullet"/>
      </w:pPr>
      <w:r>
        <w:t>The process integrates with Document Repository and depends on Vault for telemetry signals.</w:t>
      </w:r>
    </w:p>
    <w:p>
      <w:pPr>
        <w:pStyle w:val="Heading1"/>
      </w:pPr>
      <w:r>
        <w:t>Renewal and Termination</w:t>
      </w:r>
    </w:p>
    <w:p>
      <w:r>
        <w:t>The process integrates with Document Repository and depends on Vault for telemetry signals. The process integrates with Document Repository and depends on Vault for telemetry signals.</w:t>
      </w:r>
    </w:p>
    <w:p>
      <w:r>
        <w:t>We prioritize customer impact, data integrity, and regulatory alignment. All changes require peer review and validation in the Document Repository before production promotion. Regional teams in EU follow the same policy with localized legal review.</w:t>
      </w:r>
    </w:p>
    <w:p>
      <w:pPr>
        <w:pStyle w:val="ListBullet"/>
      </w:pPr>
      <w:r>
        <w:t>The Legal organization uses Vault to enforce consistent service baselines.</w:t>
      </w:r>
    </w:p>
    <w:p>
      <w:pPr>
        <w:pStyle w:val="ListBullet"/>
      </w:pPr>
      <w:r>
        <w:t>Regional teams in EU follow the same policy with localized legal review.</w:t>
      </w:r>
    </w:p>
    <w:p>
      <w:pPr>
        <w:pStyle w:val="ListBullet"/>
      </w:pPr>
      <w:r>
        <w:t>This document aligns with ISO 27001 requirements and supports EU data residency expectations.</w:t>
      </w:r>
    </w:p>
    <w:p>
      <w:pPr>
        <w:pStyle w:val="ListBullet"/>
      </w:pPr>
      <w:r>
        <w:t>The process integrates with Document Repository and depends on Vault for telemetry signals.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