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Procurement EU v1.2</w:t>
      </w:r>
    </w:p>
    <w:p>
      <w:r>
        <w:t>Department: Procurement</w:t>
      </w:r>
    </w:p>
    <w:p>
      <w:r>
        <w:t>Author: Alex Brown</w:t>
      </w:r>
    </w:p>
    <w:p>
      <w:r>
        <w:t>Created date: 2025-04-11</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Escalations should follow the on-call rotation with a response target of 15 minutes. Regional teams in EU follow the same policy with localized legal review. Regional teams in EU follow the same policy with localized legal review. Stakeholders include the Platform Engineer, service owner, and compliance lead for approvals.</w:t>
      </w:r>
    </w:p>
    <w:p>
      <w:pPr>
        <w:pStyle w:val="ListBullet"/>
      </w:pPr>
      <w:r>
        <w:t>Regional teams in EU follow the same policy with localized legal review.</w:t>
      </w:r>
    </w:p>
    <w:p>
      <w:pPr>
        <w:pStyle w:val="ListBullet"/>
      </w:pPr>
      <w:r>
        <w:t>All changes require peer review and validation in the Payment Processing Service before production promotion.</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This document aligns with PCI DSS requirements and supports EU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Platform Engineer</w:t>
            </w:r>
          </w:p>
        </w:tc>
        <w:tc>
          <w:tcPr>
            <w:tcW w:type="dxa" w:w="2880"/>
          </w:tcPr>
          <w:p>
            <w:r>
              <w:t>Complete</w:t>
            </w:r>
          </w:p>
        </w:tc>
      </w:tr>
      <w:tr>
        <w:tc>
          <w:tcPr>
            <w:tcW w:type="dxa" w:w="2880"/>
          </w:tcPr>
          <w:p>
            <w:r>
              <w:t>Backup validation</w:t>
            </w:r>
          </w:p>
        </w:tc>
        <w:tc>
          <w:tcPr>
            <w:tcW w:type="dxa" w:w="2880"/>
          </w:tcPr>
          <w:p>
            <w:r>
              <w:t>Platform Engineer</w:t>
            </w:r>
          </w:p>
        </w:tc>
        <w:tc>
          <w:tcPr>
            <w:tcW w:type="dxa" w:w="2880"/>
          </w:tcPr>
          <w:p>
            <w:r>
              <w:t>In Progress</w:t>
            </w:r>
          </w:p>
        </w:tc>
      </w:tr>
      <w:tr>
        <w:tc>
          <w:tcPr>
            <w:tcW w:type="dxa" w:w="2880"/>
          </w:tcPr>
          <w:p>
            <w:r>
              <w:t>Incident drill</w:t>
            </w:r>
          </w:p>
        </w:tc>
        <w:tc>
          <w:tcPr>
            <w:tcW w:type="dxa" w:w="2880"/>
          </w:tcPr>
          <w:p>
            <w:r>
              <w:t>Procurement</w:t>
            </w:r>
          </w:p>
        </w:tc>
        <w:tc>
          <w:tcPr>
            <w:tcW w:type="dxa" w:w="2880"/>
          </w:tcPr>
          <w:p>
            <w:r>
              <w:t>Complete</w:t>
            </w:r>
          </w:p>
        </w:tc>
      </w:tr>
      <w:tr>
        <w:tc>
          <w:tcPr>
            <w:tcW w:type="dxa" w:w="2880"/>
          </w:tcPr>
          <w:p>
            <w:r>
              <w:t>Vendor check</w:t>
            </w:r>
          </w:p>
        </w:tc>
        <w:tc>
          <w:tcPr>
            <w:tcW w:type="dxa" w:w="2880"/>
          </w:tcPr>
          <w:p>
            <w:r>
              <w:t>Operations</w:t>
            </w:r>
          </w:p>
        </w:tc>
        <w:tc>
          <w:tcPr>
            <w:tcW w:type="dxa" w:w="2880"/>
          </w:tcPr>
          <w:p>
            <w:r>
              <w:t>Blocked</w:t>
            </w:r>
          </w:p>
        </w:tc>
      </w:tr>
    </w:tbl>
    <w:p>
      <w:pPr>
        <w:pStyle w:val="Heading1"/>
      </w:pPr>
      <w:r>
        <w:t>Vendor Selection</w:t>
      </w:r>
    </w:p>
    <w:p>
      <w:r>
        <w:t>Audit sampling occurs monthly and is summarized in leadership dashboards. The process integrates with Payment Processing Service and depends on Terraform for telemetry signals.</w:t>
      </w:r>
    </w:p>
    <w:p>
      <w:r>
        <w:t>All changes require peer review and validation in the Payment Processing Service before production promotion. The Procurement team coordinates with Platform Engineer to maintain operational readiness.</w:t>
      </w:r>
    </w:p>
    <w:p>
      <w:pPr>
        <w:pStyle w:val="ListBullet"/>
      </w:pPr>
      <w:r>
        <w:t>Evidence artifacts are retained in SAP for at least 36 months.</w:t>
      </w:r>
    </w:p>
    <w:p>
      <w:pPr>
        <w:pStyle w:val="ListBullet"/>
      </w:pPr>
      <w:r>
        <w:t>This document aligns with PCI DSS requirements and supports EU data residency expectations.</w:t>
      </w:r>
    </w:p>
    <w:p>
      <w:pPr>
        <w:pStyle w:val="ListBullet"/>
      </w:pPr>
      <w:r>
        <w:t>Regional teams in EU follow the same policy with localized legal review.</w:t>
      </w:r>
    </w:p>
    <w:p>
      <w:pPr>
        <w:pStyle w:val="ListBullet"/>
      </w:pPr>
      <w:r>
        <w:t>Systems are monitored via Terraform and alert routing in SAP.</w:t>
      </w:r>
    </w:p>
    <w:p>
      <w:pPr>
        <w:pStyle w:val="ListBullet"/>
      </w:pPr>
      <w:r>
        <w:t>Evidence artifacts are retained in SAP for at least 36 months.</w:t>
      </w:r>
    </w:p>
    <w:p>
      <w:pPr>
        <w:pStyle w:val="ListBullet"/>
      </w:pPr>
      <w:r>
        <w:t>Systems are monitored via Terraform and alert routing in SAP.</w:t>
      </w:r>
    </w:p>
    <w:p>
      <w:pPr>
        <w:pStyle w:val="Heading1"/>
      </w:pPr>
      <w:r>
        <w:t>Contract Review</w:t>
      </w:r>
    </w:p>
    <w:p>
      <w:r>
        <w:t>The Procurement organization uses Terraform to enforce consistent service baselines. The Procurement organization uses Terraform to enforce consistent service baselines. The Procurement organization uses Terraform to enforce consistent service baselines. All changes require peer review and validation in the Payment Processing Service before production promotion.</w:t>
      </w:r>
    </w:p>
    <w:p>
      <w:r>
        <w:t>The Procurement team coordinates with Platform Engineer to maintain operational readiness. We prioritize customer impact, data integrity, and regulatory alignment. Evidence artifacts are retained in SAP for at least 36 months.</w:t>
      </w:r>
    </w:p>
    <w:p>
      <w:pPr>
        <w:pStyle w:val="ListBullet"/>
      </w:pPr>
      <w:r>
        <w:t>All changes require peer review and validation in the Payment Processing Service before production promotion.</w:t>
      </w:r>
    </w:p>
    <w:p>
      <w:pPr>
        <w:pStyle w:val="ListBullet"/>
      </w:pPr>
      <w:r>
        <w:t>The Procurement organization uses Terraform to enforce consistent service baselines.</w:t>
      </w:r>
    </w:p>
    <w:p>
      <w:pPr>
        <w:pStyle w:val="ListBullet"/>
      </w:pPr>
      <w:r>
        <w:t>Stakeholders include the Platform Engineer, service owner, and compliance lead for approvals.</w:t>
      </w:r>
    </w:p>
    <w:p>
      <w:pPr>
        <w:pStyle w:val="Heading1"/>
      </w:pPr>
      <w:r>
        <w:t>Purchase Order</w:t>
      </w:r>
    </w:p>
    <w:p>
      <w:r>
        <w:t>Systems are monitored via Terraform and alert routing in SAP. The Procurement organization uses Terraform to enforce consistent service baselines. Audit sampling occurs monthly and is summarized in leadership dashboards.</w:t>
      </w:r>
    </w:p>
    <w:p>
      <w:pPr>
        <w:pStyle w:val="ListBullet"/>
      </w:pPr>
      <w:r>
        <w:t>The Procurement team coordinates with Platform Engineer to maintain operational readiness.</w:t>
      </w:r>
    </w:p>
    <w:p>
      <w:pPr>
        <w:pStyle w:val="ListBullet"/>
      </w:pPr>
      <w:r>
        <w:t>We prioritize customer impact, data integrity, and regulatory alignment.</w:t>
      </w:r>
    </w:p>
    <w:p>
      <w:pPr>
        <w:pStyle w:val="ListBullet"/>
      </w:pPr>
      <w:r>
        <w:t>This document aligns with PCI DSS requirements and supports EU data residency expectations.</w:t>
      </w:r>
    </w:p>
    <w:p>
      <w:pPr>
        <w:pStyle w:val="ListBullet"/>
      </w:pPr>
      <w:r>
        <w:t>Evidence artifacts are retained in SAP for at least 36 months.</w:t>
      </w:r>
    </w:p>
    <w:p>
      <w:pPr>
        <w:pStyle w:val="ListBullet"/>
      </w:pPr>
      <w:r>
        <w:t>The Procurement team coordinates with Platform Engineer to maintain operational readiness.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Platform Engineer</w:t>
            </w:r>
          </w:p>
        </w:tc>
        <w:tc>
          <w:tcPr>
            <w:tcW w:type="dxa" w:w="2880"/>
          </w:tcPr>
          <w:p>
            <w:r>
              <w:t>Complete</w:t>
            </w:r>
          </w:p>
        </w:tc>
      </w:tr>
      <w:tr>
        <w:tc>
          <w:tcPr>
            <w:tcW w:type="dxa" w:w="2880"/>
          </w:tcPr>
          <w:p>
            <w:r>
              <w:t>Access review</w:t>
            </w:r>
          </w:p>
        </w:tc>
        <w:tc>
          <w:tcPr>
            <w:tcW w:type="dxa" w:w="2880"/>
          </w:tcPr>
          <w:p>
            <w:r>
              <w:t>Procurement</w:t>
            </w:r>
          </w:p>
        </w:tc>
        <w:tc>
          <w:tcPr>
            <w:tcW w:type="dxa" w:w="2880"/>
          </w:tcPr>
          <w:p>
            <w:r>
              <w:t>In Progress</w:t>
            </w:r>
          </w:p>
        </w:tc>
      </w:tr>
    </w:tbl>
    <w:p>
      <w:pPr>
        <w:pStyle w:val="Heading1"/>
      </w:pPr>
      <w:r>
        <w:t>Renewal and Termination</w:t>
      </w:r>
    </w:p>
    <w:p>
      <w:r>
        <w:t>All incidents are tagged with severity and mapped to service tiers. All changes require peer review and validation in the Payment Processing Service before production promotion. All incidents are tagged with severity and mapped to service tiers.</w:t>
      </w:r>
    </w:p>
    <w:p>
      <w:r>
        <w:t>The process integrates with Payment Processing Service and depends on Terraform for telemetry signals. Regional teams in EU follow the same policy with localized legal review. The Procurement organization uses Terraform to enforce consistent service baselines.</w:t>
      </w:r>
    </w:p>
    <w:p>
      <w:pPr>
        <w:pStyle w:val="ListBullet"/>
      </w:pPr>
      <w:r>
        <w:t>Escalations should follow the on-call rotation with a response target of 15 minutes.</w:t>
      </w:r>
    </w:p>
    <w:p>
      <w:pPr>
        <w:pStyle w:val="ListBullet"/>
      </w:pPr>
      <w:r>
        <w:t>Audit sampling occurs monthly and is summarized in leadership dashboards.</w:t>
      </w:r>
    </w:p>
    <w:p>
      <w:pPr>
        <w:pStyle w:val="ListBullet"/>
      </w:pPr>
      <w:r>
        <w:t>The Procurement team coordinates with Platform Engineer to maintain operational readiness.</w:t>
      </w:r>
    </w:p>
    <w:p>
      <w:pPr>
        <w:pStyle w:val="ListBullet"/>
      </w:pPr>
      <w:r>
        <w:t>We prioritize customer impact, data integrity, and regulatory alignment.</w:t>
      </w:r>
    </w:p>
    <w:p>
      <w:pPr>
        <w:pStyle w:val="ListBullet"/>
      </w:pPr>
      <w:r>
        <w:t>Evidence artifacts are retained in SAP for at least 36 months.</w:t>
      </w:r>
    </w:p>
    <w:p>
      <w:pPr>
        <w:pStyle w:val="ListBullet"/>
      </w:pPr>
      <w:r>
        <w:t>The Procurement organization uses Terraform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In Progress</w:t>
            </w:r>
          </w:p>
        </w:tc>
      </w:tr>
      <w:tr>
        <w:tc>
          <w:tcPr>
            <w:tcW w:type="dxa" w:w="2880"/>
          </w:tcPr>
          <w:p>
            <w:r>
              <w:t>Incident drill</w:t>
            </w:r>
          </w:p>
        </w:tc>
        <w:tc>
          <w:tcPr>
            <w:tcW w:type="dxa" w:w="2880"/>
          </w:tcPr>
          <w:p>
            <w:r>
              <w:t>Procurement</w:t>
            </w:r>
          </w:p>
        </w:tc>
        <w:tc>
          <w:tcPr>
            <w:tcW w:type="dxa" w:w="2880"/>
          </w:tcPr>
          <w:p>
            <w:r>
              <w:t>Blocked</w:t>
            </w:r>
          </w:p>
        </w:tc>
      </w:tr>
      <w:tr>
        <w:tc>
          <w:tcPr>
            <w:tcW w:type="dxa" w:w="2880"/>
          </w:tcPr>
          <w:p>
            <w:r>
              <w:t>Backup validation</w:t>
            </w:r>
          </w:p>
        </w:tc>
        <w:tc>
          <w:tcPr>
            <w:tcW w:type="dxa" w:w="2880"/>
          </w:tcPr>
          <w:p>
            <w:r>
              <w:t>Security</w:t>
            </w:r>
          </w:p>
        </w:tc>
        <w:tc>
          <w:tcPr>
            <w:tcW w:type="dxa" w:w="2880"/>
          </w:tcPr>
          <w:p>
            <w:r>
              <w:t>Complete</w:t>
            </w:r>
          </w:p>
        </w:tc>
      </w:tr>
      <w:tr>
        <w:tc>
          <w:tcPr>
            <w:tcW w:type="dxa" w:w="2880"/>
          </w:tcPr>
          <w:p>
            <w:r>
              <w:t>Backup validation</w:t>
            </w:r>
          </w:p>
        </w:tc>
        <w:tc>
          <w:tcPr>
            <w:tcW w:type="dxa" w:w="2880"/>
          </w:tcPr>
          <w:p>
            <w:r>
              <w:t>Security</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