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Product APAC v3.0</w:t>
      </w:r>
    </w:p>
    <w:p>
      <w:r>
        <w:t>Department: Product</w:t>
      </w:r>
    </w:p>
    <w:p>
      <w:r>
        <w:t>Author: Avery Lee</w:t>
      </w:r>
    </w:p>
    <w:p>
      <w:r>
        <w:t>Created date: 2025-12-05</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Escalations should follow the on-call rotation with a response target of 30 minutes. Escalations should follow the on-call rotation with a response target of 30 minutes.</w:t>
      </w:r>
    </w:p>
    <w:p>
      <w:r>
        <w:t>The Product team coordinates with SRE to maintain operational readiness. All changes require peer review and validation in the ERP System before production promotion. We prioritize customer impact, data integrity, and regulatory alignment.</w:t>
      </w:r>
    </w:p>
    <w:p>
      <w:pPr>
        <w:pStyle w:val="ListBullet"/>
      </w:pPr>
      <w:r>
        <w:t>Teams must log requests in Zoom and track outcomes in ERP System for audit readiness.</w:t>
      </w:r>
    </w:p>
    <w:p>
      <w:pPr>
        <w:pStyle w:val="ListBullet"/>
      </w:pPr>
      <w:r>
        <w:t>Systems are monitored via PostgreSQL and alert routing in Zoom.</w:t>
      </w:r>
    </w:p>
    <w:p>
      <w:pPr>
        <w:pStyle w:val="ListBullet"/>
      </w:pPr>
      <w:r>
        <w:t>All changes require peer review and validation in the ERP System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Access review</w:t>
            </w:r>
          </w:p>
        </w:tc>
        <w:tc>
          <w:tcPr>
            <w:tcW w:type="dxa" w:w="2880"/>
          </w:tcPr>
          <w:p>
            <w:r>
              <w:t>SRE</w:t>
            </w:r>
          </w:p>
        </w:tc>
        <w:tc>
          <w:tcPr>
            <w:tcW w:type="dxa" w:w="2880"/>
          </w:tcPr>
          <w:p>
            <w:r>
              <w:t>Complete</w:t>
            </w:r>
          </w:p>
        </w:tc>
      </w:tr>
      <w:tr>
        <w:tc>
          <w:tcPr>
            <w:tcW w:type="dxa" w:w="2880"/>
          </w:tcPr>
          <w:p>
            <w:r>
              <w:t>Patch window</w:t>
            </w:r>
          </w:p>
        </w:tc>
        <w:tc>
          <w:tcPr>
            <w:tcW w:type="dxa" w:w="2880"/>
          </w:tcPr>
          <w:p>
            <w:r>
              <w:t>Operations</w:t>
            </w:r>
          </w:p>
        </w:tc>
        <w:tc>
          <w:tcPr>
            <w:tcW w:type="dxa" w:w="2880"/>
          </w:tcPr>
          <w:p>
            <w:r>
              <w:t>Blocked</w:t>
            </w:r>
          </w:p>
        </w:tc>
      </w:tr>
      <w:tr>
        <w:tc>
          <w:tcPr>
            <w:tcW w:type="dxa" w:w="2880"/>
          </w:tcPr>
          <w:p>
            <w:r>
              <w:t>Backup validation</w:t>
            </w:r>
          </w:p>
        </w:tc>
        <w:tc>
          <w:tcPr>
            <w:tcW w:type="dxa" w:w="2880"/>
          </w:tcPr>
          <w:p>
            <w:r>
              <w:t>Security</w:t>
            </w:r>
          </w:p>
        </w:tc>
        <w:tc>
          <w:tcPr>
            <w:tcW w:type="dxa" w:w="2880"/>
          </w:tcPr>
          <w:p>
            <w:r>
              <w:t>In Progress</w:t>
            </w:r>
          </w:p>
        </w:tc>
      </w:tr>
    </w:tbl>
    <w:p>
      <w:pPr>
        <w:pStyle w:val="Heading1"/>
      </w:pPr>
      <w:r>
        <w:t>Vendor Selection</w:t>
      </w:r>
    </w:p>
    <w:p>
      <w:r>
        <w:t>The Product organization uses PostgreSQL to enforce consistent service baselines. Escalations should follow the on-call rotation with a response target of 30 minutes.</w:t>
      </w:r>
    </w:p>
    <w:p>
      <w:r>
        <w:t>Audit sampling occurs monthly and is summarized in leadership dashboards. Risk acceptance must be documented and revalidated each quarter. Audit sampling occurs monthly and is summarized in leadership dashboards.</w:t>
      </w:r>
    </w:p>
    <w:p>
      <w:pPr>
        <w:pStyle w:val="ListBullet"/>
      </w:pPr>
      <w:r>
        <w:t>Escalations should follow the on-call rotation with a response target of 30 minutes.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All changes require peer review and validation in the ERP System before production promotion.</w:t>
      </w:r>
    </w:p>
    <w:p>
      <w:pPr>
        <w:pStyle w:val="ListBullet"/>
      </w:pPr>
      <w:r>
        <w:t>All incidents are tagged with severity and mapped to service tiers.</w:t>
      </w:r>
    </w:p>
    <w:p>
      <w:pPr>
        <w:pStyle w:val="Heading1"/>
      </w:pPr>
      <w:r>
        <w:t>Contract Review</w:t>
      </w:r>
    </w:p>
    <w:p>
      <w:r>
        <w:t>Audit sampling occurs monthly and is summarized in leadership dashboards. All incidents are tagged with severity and mapped to service tiers. Systems are monitored via PostgreSQL and alert routing in Zoom. Systems are monitored via PostgreSQL and alert routing in Zoom.</w:t>
      </w:r>
    </w:p>
    <w:p>
      <w:r>
        <w:t>Escalations should follow the on-call rotation with a response target of 30 minutes. Teams must log requests in Zoom and track outcomes in ERP System for audit readiness. This document aligns with PCI DSS requirements and supports APAC data residency expectations. The Product team coordinates with SRE to maintain operational readiness.</w:t>
      </w:r>
    </w:p>
    <w:p>
      <w:pPr>
        <w:pStyle w:val="ListBullet"/>
      </w:pPr>
      <w:r>
        <w:t>Escalations should follow the on-call rotation with a response target of 30 minutes.</w:t>
      </w:r>
    </w:p>
    <w:p>
      <w:pPr>
        <w:pStyle w:val="ListBullet"/>
      </w:pPr>
      <w:r>
        <w:t>All incidents are tagged with severity and mapped to service tiers.</w:t>
      </w:r>
    </w:p>
    <w:p>
      <w:pPr>
        <w:pStyle w:val="ListBullet"/>
      </w:pPr>
      <w:r>
        <w:t>The Product organization uses PostgreSQL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Access review</w:t>
            </w:r>
          </w:p>
        </w:tc>
        <w:tc>
          <w:tcPr>
            <w:tcW w:type="dxa" w:w="2880"/>
          </w:tcPr>
          <w:p>
            <w:r>
              <w:t>Operations</w:t>
            </w:r>
          </w:p>
        </w:tc>
        <w:tc>
          <w:tcPr>
            <w:tcW w:type="dxa" w:w="2880"/>
          </w:tcPr>
          <w:p>
            <w:r>
              <w:t>Complete</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Incident drill</w:t>
            </w:r>
          </w:p>
        </w:tc>
        <w:tc>
          <w:tcPr>
            <w:tcW w:type="dxa" w:w="2880"/>
          </w:tcPr>
          <w:p>
            <w:r>
              <w:t>Operations</w:t>
            </w:r>
          </w:p>
        </w:tc>
        <w:tc>
          <w:tcPr>
            <w:tcW w:type="dxa" w:w="2880"/>
          </w:tcPr>
          <w:p>
            <w:r>
              <w:t>Blocked</w:t>
            </w:r>
          </w:p>
        </w:tc>
      </w:tr>
    </w:tbl>
    <w:p>
      <w:pPr>
        <w:pStyle w:val="Heading1"/>
      </w:pPr>
      <w:r>
        <w:t>Purchase Order</w:t>
      </w:r>
    </w:p>
    <w:p>
      <w:r>
        <w:t>We prioritize customer impact, data integrity, and regulatory alignment. Evidence artifacts are retained in Zoom for at least 24 months. All incidents are tagged with severity and mapped to service tiers. The process integrates with ERP System and depends on PostgreSQL for telemetry signals.</w:t>
      </w:r>
    </w:p>
    <w:p>
      <w:r>
        <w:t>The process integrates with ERP System and depends on PostgreSQL for telemetry signals. This document aligns with PCI DSS requirements and supports APAC data residency expectations. Systems are monitored via PostgreSQL and alert routing in Zoom. Escalations should follow the on-call rotation with a response target of 30 minutes.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Systems are monitored via PostgreSQL and alert routing in Zoom.</w:t>
      </w:r>
    </w:p>
    <w:p>
      <w:pPr>
        <w:pStyle w:val="ListBullet"/>
      </w:pPr>
      <w:r>
        <w:t>Regional teams in APAC follow the same policy with localized legal review.</w:t>
      </w:r>
    </w:p>
    <w:p>
      <w:pPr>
        <w:pStyle w:val="Heading1"/>
      </w:pPr>
      <w:r>
        <w:t>Renewal and Termination</w:t>
      </w:r>
    </w:p>
    <w:p>
      <w:r>
        <w:t>Teams must log requests in Zoom and track outcomes in ERP System for audit readiness. Stakeholders include the SRE, service owner, and compliance lead for approvals. The process integrates with ERP System and depends on PostgreSQL for telemetry signals. Evidence artifacts are retained in Zoom for at least 24 months.</w:t>
      </w:r>
    </w:p>
    <w:p>
      <w:pPr>
        <w:pStyle w:val="ListBullet"/>
      </w:pPr>
      <w:r>
        <w:t>Stakeholders include the SRE, service owner, and compliance lead for approvals.</w:t>
      </w:r>
    </w:p>
    <w:p>
      <w:pPr>
        <w:pStyle w:val="ListBullet"/>
      </w:pPr>
      <w:r>
        <w:t>All changes require peer review and validation in the ERP System before production promotion.</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